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6E0BB" w14:textId="73B42350" w:rsidR="00745F3D" w:rsidRPr="001545CB" w:rsidRDefault="00F35B6C" w:rsidP="001545CB">
      <w:pPr>
        <w:pStyle w:val="Heading1"/>
      </w:pPr>
      <w:bookmarkStart w:id="0" w:name="_Toc233884391"/>
      <w:r w:rsidRPr="001545CB">
        <w:t>Collaborative Provision Typology</w:t>
      </w:r>
      <w:bookmarkEnd w:id="0"/>
    </w:p>
    <w:p w14:paraId="3AD55DA4" w14:textId="26762A48" w:rsidR="006B6305" w:rsidRPr="0033450D" w:rsidRDefault="006B6305">
      <w:pPr>
        <w:rPr>
          <w:rFonts w:ascii="Aptos" w:hAnsi="Aptos" w:cs="Segoe UI"/>
          <w:b/>
          <w:bCs/>
          <w:sz w:val="22"/>
          <w:szCs w:val="22"/>
        </w:rPr>
      </w:pPr>
    </w:p>
    <w:p w14:paraId="54D62FB5" w14:textId="29B73819" w:rsidR="00DE010D" w:rsidRDefault="006B6305">
      <w:pPr>
        <w:rPr>
          <w:rFonts w:ascii="Aptos" w:hAnsi="Aptos" w:cs="Segoe UI"/>
          <w:sz w:val="22"/>
          <w:szCs w:val="22"/>
        </w:rPr>
      </w:pPr>
      <w:r w:rsidRPr="0033450D">
        <w:rPr>
          <w:rFonts w:ascii="Aptos" w:hAnsi="Aptos" w:cs="Segoe UI"/>
          <w:sz w:val="22"/>
          <w:szCs w:val="22"/>
        </w:rPr>
        <w:t xml:space="preserve">Birkbeck recognises the incredible benefits of </w:t>
      </w:r>
      <w:r w:rsidR="00F0779D" w:rsidRPr="0033450D">
        <w:rPr>
          <w:rFonts w:ascii="Aptos" w:hAnsi="Aptos" w:cs="Segoe UI"/>
          <w:sz w:val="22"/>
          <w:szCs w:val="22"/>
        </w:rPr>
        <w:t>c</w:t>
      </w:r>
      <w:r w:rsidR="000A4F47" w:rsidRPr="0033450D">
        <w:rPr>
          <w:rFonts w:ascii="Aptos" w:hAnsi="Aptos" w:cs="Segoe UI"/>
          <w:sz w:val="22"/>
          <w:szCs w:val="22"/>
        </w:rPr>
        <w:t>ollaboration to the academic and professional development</w:t>
      </w:r>
      <w:r w:rsidR="00F0779D" w:rsidRPr="0033450D">
        <w:rPr>
          <w:rFonts w:ascii="Aptos" w:hAnsi="Aptos" w:cs="Segoe UI"/>
          <w:sz w:val="22"/>
          <w:szCs w:val="22"/>
        </w:rPr>
        <w:t xml:space="preserve"> of its students. This document presents </w:t>
      </w:r>
      <w:r w:rsidR="00CD1CB6" w:rsidRPr="0033450D">
        <w:rPr>
          <w:rFonts w:ascii="Aptos" w:hAnsi="Aptos" w:cs="Segoe UI"/>
          <w:sz w:val="22"/>
          <w:szCs w:val="22"/>
        </w:rPr>
        <w:t>the main types of collaboration that it engages with</w:t>
      </w:r>
      <w:r w:rsidR="00F215A8" w:rsidRPr="0033450D">
        <w:rPr>
          <w:rFonts w:ascii="Aptos" w:hAnsi="Aptos" w:cs="Segoe UI"/>
          <w:sz w:val="22"/>
          <w:szCs w:val="22"/>
        </w:rPr>
        <w:t xml:space="preserve"> as follows:</w:t>
      </w:r>
    </w:p>
    <w:sdt>
      <w:sdtPr>
        <w:rPr>
          <w:rFonts w:asciiTheme="minorHAnsi" w:eastAsiaTheme="minorEastAsia" w:hAnsiTheme="minorHAnsi" w:cstheme="minorBidi"/>
          <w:b w:val="0"/>
          <w:color w:val="auto"/>
          <w:sz w:val="24"/>
          <w:szCs w:val="24"/>
          <w:lang w:eastAsia="en-US"/>
        </w:rPr>
        <w:id w:val="-781419627"/>
        <w:docPartObj>
          <w:docPartGallery w:val="Table of Contents"/>
          <w:docPartUnique/>
        </w:docPartObj>
      </w:sdtPr>
      <w:sdtEndPr>
        <w:rPr>
          <w:bCs/>
        </w:rPr>
      </w:sdtEndPr>
      <w:sdtContent>
        <w:p w14:paraId="625FA17C" w14:textId="4C9AC64E" w:rsidR="00DE010D" w:rsidRPr="001545CB" w:rsidRDefault="00DE010D" w:rsidP="001545CB">
          <w:pPr>
            <w:pStyle w:val="TOCHeading"/>
            <w:rPr>
              <w:rStyle w:val="Heading2Char"/>
            </w:rPr>
          </w:pPr>
          <w:r w:rsidRPr="001545CB">
            <w:rPr>
              <w:rStyle w:val="Heading2Char"/>
            </w:rPr>
            <w:t>Contents</w:t>
          </w:r>
        </w:p>
        <w:p w14:paraId="60F8BD6C" w14:textId="108A58BE" w:rsidR="001461DE" w:rsidRDefault="00DE010D">
          <w:pPr>
            <w:pStyle w:val="TOC1"/>
            <w:tabs>
              <w:tab w:val="right" w:leader="dot" w:pos="9926"/>
            </w:tabs>
            <w:rPr>
              <w:rFonts w:eastAsiaTheme="minorEastAsia"/>
              <w:noProof/>
              <w:kern w:val="2"/>
              <w:lang w:eastAsia="en-GB"/>
              <w14:ligatures w14:val="standardContextual"/>
            </w:rPr>
          </w:pPr>
          <w:r w:rsidRPr="00DE010D">
            <w:rPr>
              <w:rFonts w:ascii="Aptos" w:hAnsi="Aptos"/>
              <w:sz w:val="22"/>
              <w:szCs w:val="22"/>
            </w:rPr>
            <w:fldChar w:fldCharType="begin"/>
          </w:r>
          <w:r w:rsidRPr="00DE010D">
            <w:rPr>
              <w:rFonts w:ascii="Aptos" w:hAnsi="Aptos"/>
              <w:sz w:val="22"/>
              <w:szCs w:val="22"/>
            </w:rPr>
            <w:instrText xml:space="preserve"> TOC \o "1-3" \h \z \u </w:instrText>
          </w:r>
          <w:r w:rsidRPr="00DE010D">
            <w:rPr>
              <w:rFonts w:ascii="Aptos" w:hAnsi="Aptos"/>
              <w:sz w:val="22"/>
              <w:szCs w:val="22"/>
            </w:rPr>
            <w:fldChar w:fldCharType="separate"/>
          </w:r>
          <w:hyperlink w:anchor="_Toc233884391" w:history="1">
            <w:r w:rsidR="001461DE" w:rsidRPr="00C24D18">
              <w:rPr>
                <w:rStyle w:val="Hyperlink"/>
                <w:noProof/>
              </w:rPr>
              <w:t>Collaborative Provision Typology</w:t>
            </w:r>
            <w:r w:rsidR="001461DE">
              <w:rPr>
                <w:noProof/>
                <w:webHidden/>
              </w:rPr>
              <w:tab/>
            </w:r>
            <w:r w:rsidR="001461DE">
              <w:rPr>
                <w:noProof/>
                <w:webHidden/>
              </w:rPr>
              <w:fldChar w:fldCharType="begin"/>
            </w:r>
            <w:r w:rsidR="001461DE">
              <w:rPr>
                <w:noProof/>
                <w:webHidden/>
              </w:rPr>
              <w:instrText xml:space="preserve"> PAGEREF _Toc233884391 \h </w:instrText>
            </w:r>
            <w:r w:rsidR="001461DE">
              <w:rPr>
                <w:noProof/>
                <w:webHidden/>
              </w:rPr>
            </w:r>
            <w:r w:rsidR="001461DE">
              <w:rPr>
                <w:noProof/>
                <w:webHidden/>
              </w:rPr>
              <w:fldChar w:fldCharType="separate"/>
            </w:r>
            <w:r w:rsidR="001461DE">
              <w:rPr>
                <w:noProof/>
                <w:webHidden/>
              </w:rPr>
              <w:t>1</w:t>
            </w:r>
            <w:r w:rsidR="001461DE">
              <w:rPr>
                <w:noProof/>
                <w:webHidden/>
              </w:rPr>
              <w:fldChar w:fldCharType="end"/>
            </w:r>
          </w:hyperlink>
        </w:p>
        <w:p w14:paraId="4187BFA3" w14:textId="5DB28E7B" w:rsidR="001461DE" w:rsidRDefault="001461DE">
          <w:pPr>
            <w:pStyle w:val="TOC2"/>
            <w:rPr>
              <w:rFonts w:eastAsiaTheme="minorEastAsia"/>
              <w:b w:val="0"/>
              <w:bCs w:val="0"/>
              <w:kern w:val="2"/>
              <w:lang w:eastAsia="en-GB"/>
              <w14:ligatures w14:val="standardContextual"/>
            </w:rPr>
          </w:pPr>
          <w:hyperlink w:anchor="_Toc233884392" w:history="1">
            <w:r w:rsidRPr="00C24D18">
              <w:rPr>
                <w:rStyle w:val="Hyperlink"/>
              </w:rPr>
              <w:t>Partnership arrangements</w:t>
            </w:r>
            <w:r>
              <w:rPr>
                <w:webHidden/>
              </w:rPr>
              <w:tab/>
            </w:r>
            <w:r>
              <w:rPr>
                <w:webHidden/>
              </w:rPr>
              <w:fldChar w:fldCharType="begin"/>
            </w:r>
            <w:r>
              <w:rPr>
                <w:webHidden/>
              </w:rPr>
              <w:instrText xml:space="preserve"> PAGEREF _Toc233884392 \h </w:instrText>
            </w:r>
            <w:r>
              <w:rPr>
                <w:webHidden/>
              </w:rPr>
            </w:r>
            <w:r>
              <w:rPr>
                <w:webHidden/>
              </w:rPr>
              <w:fldChar w:fldCharType="separate"/>
            </w:r>
            <w:r>
              <w:rPr>
                <w:webHidden/>
              </w:rPr>
              <w:t>2</w:t>
            </w:r>
            <w:r>
              <w:rPr>
                <w:webHidden/>
              </w:rPr>
              <w:fldChar w:fldCharType="end"/>
            </w:r>
          </w:hyperlink>
        </w:p>
        <w:p w14:paraId="0FCF9D2B" w14:textId="71B6BB05" w:rsidR="001461DE" w:rsidRDefault="001461DE">
          <w:pPr>
            <w:pStyle w:val="TOC3"/>
            <w:tabs>
              <w:tab w:val="right" w:leader="dot" w:pos="9926"/>
            </w:tabs>
            <w:rPr>
              <w:noProof/>
            </w:rPr>
          </w:pPr>
          <w:hyperlink w:anchor="_Toc233884393" w:history="1">
            <w:r w:rsidRPr="00C24D18">
              <w:rPr>
                <w:rStyle w:val="Hyperlink"/>
                <w:noProof/>
              </w:rPr>
              <w:t>Franchising/Sub-contractual</w:t>
            </w:r>
            <w:r>
              <w:rPr>
                <w:noProof/>
                <w:webHidden/>
              </w:rPr>
              <w:tab/>
            </w:r>
            <w:r>
              <w:rPr>
                <w:noProof/>
                <w:webHidden/>
              </w:rPr>
              <w:fldChar w:fldCharType="begin"/>
            </w:r>
            <w:r>
              <w:rPr>
                <w:noProof/>
                <w:webHidden/>
              </w:rPr>
              <w:instrText xml:space="preserve"> PAGEREF _Toc233884393 \h </w:instrText>
            </w:r>
            <w:r>
              <w:rPr>
                <w:noProof/>
                <w:webHidden/>
              </w:rPr>
            </w:r>
            <w:r>
              <w:rPr>
                <w:noProof/>
                <w:webHidden/>
              </w:rPr>
              <w:fldChar w:fldCharType="separate"/>
            </w:r>
            <w:r>
              <w:rPr>
                <w:noProof/>
                <w:webHidden/>
              </w:rPr>
              <w:t>2</w:t>
            </w:r>
            <w:r>
              <w:rPr>
                <w:noProof/>
                <w:webHidden/>
              </w:rPr>
              <w:fldChar w:fldCharType="end"/>
            </w:r>
          </w:hyperlink>
        </w:p>
        <w:p w14:paraId="2ACD4301" w14:textId="2CBE3F77" w:rsidR="001461DE" w:rsidRDefault="001461DE">
          <w:pPr>
            <w:pStyle w:val="TOC3"/>
            <w:tabs>
              <w:tab w:val="right" w:leader="dot" w:pos="9926"/>
            </w:tabs>
            <w:rPr>
              <w:noProof/>
            </w:rPr>
          </w:pPr>
          <w:hyperlink w:anchor="_Toc233884394" w:history="1">
            <w:r w:rsidRPr="00C24D18">
              <w:rPr>
                <w:rStyle w:val="Hyperlink"/>
                <w:noProof/>
              </w:rPr>
              <w:t>Validation</w:t>
            </w:r>
            <w:r>
              <w:rPr>
                <w:noProof/>
                <w:webHidden/>
              </w:rPr>
              <w:tab/>
            </w:r>
            <w:r>
              <w:rPr>
                <w:noProof/>
                <w:webHidden/>
              </w:rPr>
              <w:fldChar w:fldCharType="begin"/>
            </w:r>
            <w:r>
              <w:rPr>
                <w:noProof/>
                <w:webHidden/>
              </w:rPr>
              <w:instrText xml:space="preserve"> PAGEREF _Toc233884394 \h </w:instrText>
            </w:r>
            <w:r>
              <w:rPr>
                <w:noProof/>
                <w:webHidden/>
              </w:rPr>
            </w:r>
            <w:r>
              <w:rPr>
                <w:noProof/>
                <w:webHidden/>
              </w:rPr>
              <w:fldChar w:fldCharType="separate"/>
            </w:r>
            <w:r>
              <w:rPr>
                <w:noProof/>
                <w:webHidden/>
              </w:rPr>
              <w:t>3</w:t>
            </w:r>
            <w:r>
              <w:rPr>
                <w:noProof/>
                <w:webHidden/>
              </w:rPr>
              <w:fldChar w:fldCharType="end"/>
            </w:r>
          </w:hyperlink>
        </w:p>
        <w:p w14:paraId="1F9042AD" w14:textId="1745CE6A" w:rsidR="001461DE" w:rsidRDefault="001461DE">
          <w:pPr>
            <w:pStyle w:val="TOC3"/>
            <w:tabs>
              <w:tab w:val="right" w:leader="dot" w:pos="9926"/>
            </w:tabs>
            <w:rPr>
              <w:noProof/>
            </w:rPr>
          </w:pPr>
          <w:hyperlink w:anchor="_Toc233884395" w:history="1">
            <w:r w:rsidRPr="00C24D18">
              <w:rPr>
                <w:rStyle w:val="Hyperlink"/>
                <w:noProof/>
              </w:rPr>
              <w:t>Validation with double certification</w:t>
            </w:r>
            <w:r>
              <w:rPr>
                <w:noProof/>
                <w:webHidden/>
              </w:rPr>
              <w:tab/>
            </w:r>
            <w:r>
              <w:rPr>
                <w:noProof/>
                <w:webHidden/>
              </w:rPr>
              <w:fldChar w:fldCharType="begin"/>
            </w:r>
            <w:r>
              <w:rPr>
                <w:noProof/>
                <w:webHidden/>
              </w:rPr>
              <w:instrText xml:space="preserve"> PAGEREF _Toc233884395 \h </w:instrText>
            </w:r>
            <w:r>
              <w:rPr>
                <w:noProof/>
                <w:webHidden/>
              </w:rPr>
            </w:r>
            <w:r>
              <w:rPr>
                <w:noProof/>
                <w:webHidden/>
              </w:rPr>
              <w:fldChar w:fldCharType="separate"/>
            </w:r>
            <w:r>
              <w:rPr>
                <w:noProof/>
                <w:webHidden/>
              </w:rPr>
              <w:t>4</w:t>
            </w:r>
            <w:r>
              <w:rPr>
                <w:noProof/>
                <w:webHidden/>
              </w:rPr>
              <w:fldChar w:fldCharType="end"/>
            </w:r>
          </w:hyperlink>
        </w:p>
        <w:p w14:paraId="7C5A9AFF" w14:textId="37D32377" w:rsidR="001461DE" w:rsidRDefault="001461DE">
          <w:pPr>
            <w:pStyle w:val="TOC3"/>
            <w:tabs>
              <w:tab w:val="right" w:leader="dot" w:pos="9926"/>
            </w:tabs>
            <w:rPr>
              <w:noProof/>
            </w:rPr>
          </w:pPr>
          <w:hyperlink w:anchor="_Toc233884396" w:history="1">
            <w:r w:rsidRPr="00C24D18">
              <w:rPr>
                <w:rStyle w:val="Hyperlink"/>
                <w:noProof/>
              </w:rPr>
              <w:t>Joint Degree Award</w:t>
            </w:r>
            <w:r>
              <w:rPr>
                <w:noProof/>
                <w:webHidden/>
              </w:rPr>
              <w:tab/>
            </w:r>
            <w:r>
              <w:rPr>
                <w:noProof/>
                <w:webHidden/>
              </w:rPr>
              <w:fldChar w:fldCharType="begin"/>
            </w:r>
            <w:r>
              <w:rPr>
                <w:noProof/>
                <w:webHidden/>
              </w:rPr>
              <w:instrText xml:space="preserve"> PAGEREF _Toc233884396 \h </w:instrText>
            </w:r>
            <w:r>
              <w:rPr>
                <w:noProof/>
                <w:webHidden/>
              </w:rPr>
            </w:r>
            <w:r>
              <w:rPr>
                <w:noProof/>
                <w:webHidden/>
              </w:rPr>
              <w:fldChar w:fldCharType="separate"/>
            </w:r>
            <w:r>
              <w:rPr>
                <w:noProof/>
                <w:webHidden/>
              </w:rPr>
              <w:t>5</w:t>
            </w:r>
            <w:r>
              <w:rPr>
                <w:noProof/>
                <w:webHidden/>
              </w:rPr>
              <w:fldChar w:fldCharType="end"/>
            </w:r>
          </w:hyperlink>
        </w:p>
        <w:p w14:paraId="3AF912A9" w14:textId="52E133D6" w:rsidR="001461DE" w:rsidRDefault="001461DE">
          <w:pPr>
            <w:pStyle w:val="TOC3"/>
            <w:tabs>
              <w:tab w:val="right" w:leader="dot" w:pos="9926"/>
            </w:tabs>
            <w:rPr>
              <w:noProof/>
            </w:rPr>
          </w:pPr>
          <w:hyperlink w:anchor="_Toc233884397" w:history="1">
            <w:r w:rsidRPr="00C24D18">
              <w:rPr>
                <w:rStyle w:val="Hyperlink"/>
                <w:noProof/>
              </w:rPr>
              <w:t>Dual Degree Award (also referred to as Double Degree Awards)</w:t>
            </w:r>
            <w:r>
              <w:rPr>
                <w:noProof/>
                <w:webHidden/>
              </w:rPr>
              <w:tab/>
            </w:r>
            <w:r>
              <w:rPr>
                <w:noProof/>
                <w:webHidden/>
              </w:rPr>
              <w:fldChar w:fldCharType="begin"/>
            </w:r>
            <w:r>
              <w:rPr>
                <w:noProof/>
                <w:webHidden/>
              </w:rPr>
              <w:instrText xml:space="preserve"> PAGEREF _Toc233884397 \h </w:instrText>
            </w:r>
            <w:r>
              <w:rPr>
                <w:noProof/>
                <w:webHidden/>
              </w:rPr>
            </w:r>
            <w:r>
              <w:rPr>
                <w:noProof/>
                <w:webHidden/>
              </w:rPr>
              <w:fldChar w:fldCharType="separate"/>
            </w:r>
            <w:r>
              <w:rPr>
                <w:noProof/>
                <w:webHidden/>
              </w:rPr>
              <w:t>6</w:t>
            </w:r>
            <w:r>
              <w:rPr>
                <w:noProof/>
                <w:webHidden/>
              </w:rPr>
              <w:fldChar w:fldCharType="end"/>
            </w:r>
          </w:hyperlink>
        </w:p>
        <w:p w14:paraId="004DB823" w14:textId="0755D53C" w:rsidR="001461DE" w:rsidRDefault="001461DE">
          <w:pPr>
            <w:pStyle w:val="TOC3"/>
            <w:tabs>
              <w:tab w:val="right" w:leader="dot" w:pos="9926"/>
            </w:tabs>
            <w:rPr>
              <w:noProof/>
            </w:rPr>
          </w:pPr>
          <w:hyperlink w:anchor="_Toc233884398" w:history="1">
            <w:r w:rsidRPr="00C24D18">
              <w:rPr>
                <w:rStyle w:val="Hyperlink"/>
                <w:noProof/>
              </w:rPr>
              <w:t>Contribution of Expert Resources</w:t>
            </w:r>
            <w:r>
              <w:rPr>
                <w:noProof/>
                <w:webHidden/>
              </w:rPr>
              <w:tab/>
            </w:r>
            <w:r>
              <w:rPr>
                <w:noProof/>
                <w:webHidden/>
              </w:rPr>
              <w:fldChar w:fldCharType="begin"/>
            </w:r>
            <w:r>
              <w:rPr>
                <w:noProof/>
                <w:webHidden/>
              </w:rPr>
              <w:instrText xml:space="preserve"> PAGEREF _Toc233884398 \h </w:instrText>
            </w:r>
            <w:r>
              <w:rPr>
                <w:noProof/>
                <w:webHidden/>
              </w:rPr>
            </w:r>
            <w:r>
              <w:rPr>
                <w:noProof/>
                <w:webHidden/>
              </w:rPr>
              <w:fldChar w:fldCharType="separate"/>
            </w:r>
            <w:r>
              <w:rPr>
                <w:noProof/>
                <w:webHidden/>
              </w:rPr>
              <w:t>7</w:t>
            </w:r>
            <w:r>
              <w:rPr>
                <w:noProof/>
                <w:webHidden/>
              </w:rPr>
              <w:fldChar w:fldCharType="end"/>
            </w:r>
          </w:hyperlink>
        </w:p>
        <w:p w14:paraId="409DC8EB" w14:textId="38C3B7FF" w:rsidR="001461DE" w:rsidRDefault="001461DE">
          <w:pPr>
            <w:pStyle w:val="TOC2"/>
            <w:rPr>
              <w:rFonts w:eastAsiaTheme="minorEastAsia"/>
              <w:b w:val="0"/>
              <w:bCs w:val="0"/>
              <w:kern w:val="2"/>
              <w:lang w:eastAsia="en-GB"/>
              <w14:ligatures w14:val="standardContextual"/>
            </w:rPr>
          </w:pPr>
          <w:hyperlink w:anchor="_Toc233884399" w:history="1">
            <w:r w:rsidRPr="00C24D18">
              <w:rPr>
                <w:rStyle w:val="Hyperlink"/>
              </w:rPr>
              <w:t>Collaboration arrangements</w:t>
            </w:r>
            <w:r>
              <w:rPr>
                <w:webHidden/>
              </w:rPr>
              <w:tab/>
            </w:r>
            <w:r>
              <w:rPr>
                <w:webHidden/>
              </w:rPr>
              <w:fldChar w:fldCharType="begin"/>
            </w:r>
            <w:r>
              <w:rPr>
                <w:webHidden/>
              </w:rPr>
              <w:instrText xml:space="preserve"> PAGEREF _Toc233884399 \h </w:instrText>
            </w:r>
            <w:r>
              <w:rPr>
                <w:webHidden/>
              </w:rPr>
            </w:r>
            <w:r>
              <w:rPr>
                <w:webHidden/>
              </w:rPr>
              <w:fldChar w:fldCharType="separate"/>
            </w:r>
            <w:r>
              <w:rPr>
                <w:webHidden/>
              </w:rPr>
              <w:t>8</w:t>
            </w:r>
            <w:r>
              <w:rPr>
                <w:webHidden/>
              </w:rPr>
              <w:fldChar w:fldCharType="end"/>
            </w:r>
          </w:hyperlink>
        </w:p>
        <w:p w14:paraId="0031ADAD" w14:textId="26E091E1" w:rsidR="001461DE" w:rsidRDefault="001461DE">
          <w:pPr>
            <w:pStyle w:val="TOC3"/>
            <w:tabs>
              <w:tab w:val="right" w:leader="dot" w:pos="9926"/>
            </w:tabs>
            <w:rPr>
              <w:noProof/>
            </w:rPr>
          </w:pPr>
          <w:hyperlink w:anchor="_Toc233884400" w:history="1">
            <w:r w:rsidRPr="00C24D18">
              <w:rPr>
                <w:rStyle w:val="Hyperlink"/>
                <w:noProof/>
              </w:rPr>
              <w:t>Articulation</w:t>
            </w:r>
            <w:r>
              <w:rPr>
                <w:noProof/>
                <w:webHidden/>
              </w:rPr>
              <w:tab/>
            </w:r>
            <w:r>
              <w:rPr>
                <w:noProof/>
                <w:webHidden/>
              </w:rPr>
              <w:fldChar w:fldCharType="begin"/>
            </w:r>
            <w:r>
              <w:rPr>
                <w:noProof/>
                <w:webHidden/>
              </w:rPr>
              <w:instrText xml:space="preserve"> PAGEREF _Toc233884400 \h </w:instrText>
            </w:r>
            <w:r>
              <w:rPr>
                <w:noProof/>
                <w:webHidden/>
              </w:rPr>
            </w:r>
            <w:r>
              <w:rPr>
                <w:noProof/>
                <w:webHidden/>
              </w:rPr>
              <w:fldChar w:fldCharType="separate"/>
            </w:r>
            <w:r>
              <w:rPr>
                <w:noProof/>
                <w:webHidden/>
              </w:rPr>
              <w:t>8</w:t>
            </w:r>
            <w:r>
              <w:rPr>
                <w:noProof/>
                <w:webHidden/>
              </w:rPr>
              <w:fldChar w:fldCharType="end"/>
            </w:r>
          </w:hyperlink>
        </w:p>
        <w:p w14:paraId="0CE08098" w14:textId="645A2C4A" w:rsidR="001461DE" w:rsidRDefault="001461DE">
          <w:pPr>
            <w:pStyle w:val="TOC3"/>
            <w:tabs>
              <w:tab w:val="right" w:leader="dot" w:pos="9926"/>
            </w:tabs>
            <w:rPr>
              <w:noProof/>
            </w:rPr>
          </w:pPr>
          <w:hyperlink w:anchor="_Toc233884401" w:history="1">
            <w:r w:rsidRPr="00C24D18">
              <w:rPr>
                <w:rStyle w:val="Hyperlink"/>
                <w:noProof/>
              </w:rPr>
              <w:t>Progression</w:t>
            </w:r>
            <w:r>
              <w:rPr>
                <w:noProof/>
                <w:webHidden/>
              </w:rPr>
              <w:tab/>
            </w:r>
            <w:r>
              <w:rPr>
                <w:noProof/>
                <w:webHidden/>
              </w:rPr>
              <w:fldChar w:fldCharType="begin"/>
            </w:r>
            <w:r>
              <w:rPr>
                <w:noProof/>
                <w:webHidden/>
              </w:rPr>
              <w:instrText xml:space="preserve"> PAGEREF _Toc233884401 \h </w:instrText>
            </w:r>
            <w:r>
              <w:rPr>
                <w:noProof/>
                <w:webHidden/>
              </w:rPr>
            </w:r>
            <w:r>
              <w:rPr>
                <w:noProof/>
                <w:webHidden/>
              </w:rPr>
              <w:fldChar w:fldCharType="separate"/>
            </w:r>
            <w:r>
              <w:rPr>
                <w:noProof/>
                <w:webHidden/>
              </w:rPr>
              <w:t>9</w:t>
            </w:r>
            <w:r>
              <w:rPr>
                <w:noProof/>
                <w:webHidden/>
              </w:rPr>
              <w:fldChar w:fldCharType="end"/>
            </w:r>
          </w:hyperlink>
        </w:p>
        <w:p w14:paraId="1BB20A49" w14:textId="35AE79BF" w:rsidR="001461DE" w:rsidRDefault="001461DE">
          <w:pPr>
            <w:pStyle w:val="TOC3"/>
            <w:tabs>
              <w:tab w:val="right" w:leader="dot" w:pos="9926"/>
            </w:tabs>
            <w:rPr>
              <w:noProof/>
            </w:rPr>
          </w:pPr>
          <w:hyperlink w:anchor="_Toc233884402" w:history="1">
            <w:r w:rsidRPr="00C24D18">
              <w:rPr>
                <w:rStyle w:val="Hyperlink"/>
                <w:noProof/>
              </w:rPr>
              <w:t>Accreditation</w:t>
            </w:r>
            <w:r>
              <w:rPr>
                <w:noProof/>
                <w:webHidden/>
              </w:rPr>
              <w:tab/>
            </w:r>
            <w:r>
              <w:rPr>
                <w:noProof/>
                <w:webHidden/>
              </w:rPr>
              <w:fldChar w:fldCharType="begin"/>
            </w:r>
            <w:r>
              <w:rPr>
                <w:noProof/>
                <w:webHidden/>
              </w:rPr>
              <w:instrText xml:space="preserve"> PAGEREF _Toc233884402 \h </w:instrText>
            </w:r>
            <w:r>
              <w:rPr>
                <w:noProof/>
                <w:webHidden/>
              </w:rPr>
            </w:r>
            <w:r>
              <w:rPr>
                <w:noProof/>
                <w:webHidden/>
              </w:rPr>
              <w:fldChar w:fldCharType="separate"/>
            </w:r>
            <w:r>
              <w:rPr>
                <w:noProof/>
                <w:webHidden/>
              </w:rPr>
              <w:t>10</w:t>
            </w:r>
            <w:r>
              <w:rPr>
                <w:noProof/>
                <w:webHidden/>
              </w:rPr>
              <w:fldChar w:fldCharType="end"/>
            </w:r>
          </w:hyperlink>
        </w:p>
        <w:p w14:paraId="184143D1" w14:textId="5A8E99D9" w:rsidR="001461DE" w:rsidRDefault="001461DE">
          <w:pPr>
            <w:pStyle w:val="TOC3"/>
            <w:tabs>
              <w:tab w:val="right" w:leader="dot" w:pos="9926"/>
            </w:tabs>
            <w:rPr>
              <w:noProof/>
            </w:rPr>
          </w:pPr>
          <w:hyperlink w:anchor="_Toc233884403" w:history="1">
            <w:r w:rsidRPr="00C24D18">
              <w:rPr>
                <w:rStyle w:val="Hyperlink"/>
                <w:noProof/>
              </w:rPr>
              <w:t>Research Degree Co-tutelle</w:t>
            </w:r>
            <w:r>
              <w:rPr>
                <w:noProof/>
                <w:webHidden/>
              </w:rPr>
              <w:tab/>
            </w:r>
            <w:r>
              <w:rPr>
                <w:noProof/>
                <w:webHidden/>
              </w:rPr>
              <w:fldChar w:fldCharType="begin"/>
            </w:r>
            <w:r>
              <w:rPr>
                <w:noProof/>
                <w:webHidden/>
              </w:rPr>
              <w:instrText xml:space="preserve"> PAGEREF _Toc233884403 \h </w:instrText>
            </w:r>
            <w:r>
              <w:rPr>
                <w:noProof/>
                <w:webHidden/>
              </w:rPr>
            </w:r>
            <w:r>
              <w:rPr>
                <w:noProof/>
                <w:webHidden/>
              </w:rPr>
              <w:fldChar w:fldCharType="separate"/>
            </w:r>
            <w:r>
              <w:rPr>
                <w:noProof/>
                <w:webHidden/>
              </w:rPr>
              <w:t>11</w:t>
            </w:r>
            <w:r>
              <w:rPr>
                <w:noProof/>
                <w:webHidden/>
              </w:rPr>
              <w:fldChar w:fldCharType="end"/>
            </w:r>
          </w:hyperlink>
        </w:p>
        <w:p w14:paraId="1AD36116" w14:textId="414F8A4A" w:rsidR="001461DE" w:rsidRDefault="001461DE">
          <w:pPr>
            <w:pStyle w:val="TOC3"/>
            <w:tabs>
              <w:tab w:val="right" w:leader="dot" w:pos="9926"/>
            </w:tabs>
            <w:rPr>
              <w:noProof/>
            </w:rPr>
          </w:pPr>
          <w:hyperlink w:anchor="_Toc233884404" w:history="1">
            <w:r w:rsidRPr="00C24D18">
              <w:rPr>
                <w:rStyle w:val="Hyperlink"/>
                <w:noProof/>
              </w:rPr>
              <w:t>Degree Apprenticeships</w:t>
            </w:r>
            <w:r>
              <w:rPr>
                <w:noProof/>
                <w:webHidden/>
              </w:rPr>
              <w:tab/>
            </w:r>
            <w:r>
              <w:rPr>
                <w:noProof/>
                <w:webHidden/>
              </w:rPr>
              <w:fldChar w:fldCharType="begin"/>
            </w:r>
            <w:r>
              <w:rPr>
                <w:noProof/>
                <w:webHidden/>
              </w:rPr>
              <w:instrText xml:space="preserve"> PAGEREF _Toc233884404 \h </w:instrText>
            </w:r>
            <w:r>
              <w:rPr>
                <w:noProof/>
                <w:webHidden/>
              </w:rPr>
            </w:r>
            <w:r>
              <w:rPr>
                <w:noProof/>
                <w:webHidden/>
              </w:rPr>
              <w:fldChar w:fldCharType="separate"/>
            </w:r>
            <w:r>
              <w:rPr>
                <w:noProof/>
                <w:webHidden/>
              </w:rPr>
              <w:t>12</w:t>
            </w:r>
            <w:r>
              <w:rPr>
                <w:noProof/>
                <w:webHidden/>
              </w:rPr>
              <w:fldChar w:fldCharType="end"/>
            </w:r>
          </w:hyperlink>
        </w:p>
        <w:p w14:paraId="09C2F7F4" w14:textId="3A405502" w:rsidR="00DE010D" w:rsidRDefault="00DE010D">
          <w:r w:rsidRPr="00DE010D">
            <w:rPr>
              <w:rFonts w:ascii="Aptos" w:hAnsi="Aptos"/>
              <w:b/>
              <w:bCs/>
              <w:sz w:val="22"/>
              <w:szCs w:val="22"/>
            </w:rPr>
            <w:fldChar w:fldCharType="end"/>
          </w:r>
        </w:p>
      </w:sdtContent>
    </w:sdt>
    <w:p w14:paraId="73189F68" w14:textId="77777777" w:rsidR="00523958" w:rsidRDefault="00523958" w:rsidP="001545CB">
      <w:pPr>
        <w:pStyle w:val="Heading1"/>
        <w:rPr>
          <w:b w:val="0"/>
        </w:rPr>
      </w:pPr>
    </w:p>
    <w:p w14:paraId="4DD3EEF6" w14:textId="77777777" w:rsidR="00523958" w:rsidRDefault="00523958" w:rsidP="001545CB">
      <w:pPr>
        <w:pStyle w:val="Heading1"/>
        <w:rPr>
          <w:b w:val="0"/>
        </w:rPr>
      </w:pPr>
    </w:p>
    <w:p w14:paraId="6EBEAFCF" w14:textId="77777777" w:rsidR="00523958" w:rsidRDefault="00523958" w:rsidP="00523958"/>
    <w:p w14:paraId="5A5EC435" w14:textId="77777777" w:rsidR="002E3677" w:rsidRDefault="002E3677" w:rsidP="00523958"/>
    <w:p w14:paraId="685774DC" w14:textId="77777777" w:rsidR="00747343" w:rsidRDefault="00747343" w:rsidP="00523958"/>
    <w:p w14:paraId="558CB8B0" w14:textId="77777777" w:rsidR="00747343" w:rsidRDefault="00747343" w:rsidP="00523958"/>
    <w:p w14:paraId="20E75FF8" w14:textId="77777777" w:rsidR="00747343" w:rsidRDefault="00747343" w:rsidP="00523958"/>
    <w:p w14:paraId="6D6FB4F7" w14:textId="77777777" w:rsidR="00747343" w:rsidRDefault="00747343" w:rsidP="00523958"/>
    <w:p w14:paraId="15443D2A" w14:textId="77777777" w:rsidR="00747343" w:rsidRDefault="00747343" w:rsidP="00523958"/>
    <w:p w14:paraId="5D6AFA69" w14:textId="77777777" w:rsidR="00747343" w:rsidRDefault="00747343" w:rsidP="00523958"/>
    <w:p w14:paraId="0E1A6B03" w14:textId="77777777" w:rsidR="00747343" w:rsidRDefault="00747343" w:rsidP="00523958"/>
    <w:p w14:paraId="4D724484" w14:textId="77777777" w:rsidR="00747343" w:rsidRDefault="00747343" w:rsidP="00523958"/>
    <w:p w14:paraId="36EDC65D" w14:textId="77777777" w:rsidR="00747343" w:rsidRDefault="00747343" w:rsidP="00523958"/>
    <w:p w14:paraId="59AB7FC1" w14:textId="77777777" w:rsidR="00747343" w:rsidRDefault="00747343" w:rsidP="00523958"/>
    <w:p w14:paraId="1F8CD07F" w14:textId="4BB5E8AC" w:rsidR="00FB2D48" w:rsidRPr="006329D7" w:rsidRDefault="00C25101">
      <w:r>
        <w:t>Approved June 2026</w:t>
      </w:r>
      <w:r w:rsidR="00FB2D48">
        <w:rPr>
          <w:b/>
          <w:bCs/>
        </w:rPr>
        <w:br w:type="page"/>
      </w:r>
    </w:p>
    <w:p w14:paraId="535D623E" w14:textId="36CB7B58" w:rsidR="00DE010D" w:rsidRPr="00CF4897" w:rsidRDefault="00DE010D" w:rsidP="001545CB">
      <w:pPr>
        <w:pStyle w:val="Heading2"/>
      </w:pPr>
      <w:bookmarkStart w:id="1" w:name="_Toc233884392"/>
      <w:r w:rsidRPr="00CF4897">
        <w:lastRenderedPageBreak/>
        <w:t xml:space="preserve">Partnership </w:t>
      </w:r>
      <w:r w:rsidR="001545CB">
        <w:t>a</w:t>
      </w:r>
      <w:r w:rsidRPr="00CF4897">
        <w:t>rrangements</w:t>
      </w:r>
      <w:bookmarkEnd w:id="1"/>
    </w:p>
    <w:p w14:paraId="2AF77567" w14:textId="77777777" w:rsidR="00CE49B7" w:rsidRPr="00CE49B7" w:rsidRDefault="00CE49B7" w:rsidP="0033450D"/>
    <w:p w14:paraId="7D2773E2" w14:textId="6072FFC2" w:rsidR="0A615D2F" w:rsidRPr="001545CB" w:rsidRDefault="49079DC7" w:rsidP="001545CB">
      <w:pPr>
        <w:pStyle w:val="Heading3"/>
      </w:pPr>
      <w:bookmarkStart w:id="2" w:name="_Toc233884393"/>
      <w:r w:rsidRPr="001545CB">
        <w:t>Franchising/Sub-contractual</w:t>
      </w:r>
      <w:bookmarkEnd w:id="2"/>
    </w:p>
    <w:p w14:paraId="7E83A847" w14:textId="77777777" w:rsidR="00306EA7" w:rsidRDefault="00306EA7" w:rsidP="00237EEA">
      <w:pPr>
        <w:spacing w:before="81"/>
        <w:ind w:right="-20"/>
        <w:rPr>
          <w:rFonts w:ascii="Aptos" w:hAnsi="Aptos" w:cs="Segoe UI"/>
          <w:sz w:val="22"/>
          <w:szCs w:val="22"/>
        </w:rPr>
      </w:pPr>
    </w:p>
    <w:p w14:paraId="041CC60F" w14:textId="2772E9E4" w:rsidR="49079DC7" w:rsidRDefault="49079DC7" w:rsidP="00237EEA">
      <w:pPr>
        <w:spacing w:before="81"/>
        <w:ind w:right="-20"/>
        <w:rPr>
          <w:rFonts w:ascii="Aptos" w:hAnsi="Aptos" w:cs="Segoe UI"/>
          <w:sz w:val="22"/>
          <w:szCs w:val="22"/>
        </w:rPr>
      </w:pPr>
      <w:r w:rsidRPr="0033450D">
        <w:rPr>
          <w:rFonts w:ascii="Aptos" w:hAnsi="Aptos" w:cs="Segoe UI"/>
          <w:sz w:val="22"/>
          <w:szCs w:val="22"/>
        </w:rPr>
        <w:t>Birkbeck allows another organisation to deliver and assess a programme that is designed by the College and leads to a Birkbeck award.</w:t>
      </w:r>
      <w:r>
        <w:rPr>
          <w:rFonts w:ascii="Aptos" w:hAnsi="Aptos" w:cs="Segoe UI"/>
          <w:sz w:val="22"/>
          <w:szCs w:val="22"/>
        </w:rPr>
        <w:t xml:space="preserve"> </w:t>
      </w:r>
      <w:r w:rsidR="005510F5">
        <w:rPr>
          <w:rFonts w:ascii="Aptos" w:hAnsi="Aptos" w:cs="Segoe UI"/>
          <w:sz w:val="22"/>
          <w:szCs w:val="22"/>
        </w:rPr>
        <w:t xml:space="preserve">Usually, Birkbeck franchises/ sub-contracts entire programmes; however, </w:t>
      </w:r>
      <w:r w:rsidR="006230CF">
        <w:rPr>
          <w:rFonts w:ascii="Aptos" w:hAnsi="Aptos" w:cs="Segoe UI"/>
          <w:sz w:val="22"/>
          <w:szCs w:val="22"/>
        </w:rPr>
        <w:t>programmes are considered franchised where</w:t>
      </w:r>
      <w:r w:rsidRPr="0033450D">
        <w:rPr>
          <w:rFonts w:ascii="Aptos" w:hAnsi="Aptos" w:cs="Segoe UI"/>
          <w:sz w:val="22"/>
          <w:szCs w:val="22"/>
        </w:rPr>
        <w:t xml:space="preserve"> </w:t>
      </w:r>
      <w:r w:rsidR="007952B0" w:rsidRPr="30B48483">
        <w:rPr>
          <w:rFonts w:ascii="Aptos" w:hAnsi="Aptos" w:cs="Segoe UI"/>
          <w:sz w:val="22"/>
          <w:szCs w:val="22"/>
        </w:rPr>
        <w:t xml:space="preserve">50% </w:t>
      </w:r>
      <w:r w:rsidR="56F7CAAE" w:rsidRPr="30B48483">
        <w:rPr>
          <w:rFonts w:ascii="Aptos" w:hAnsi="Aptos" w:cs="Segoe UI"/>
          <w:sz w:val="22"/>
          <w:szCs w:val="22"/>
        </w:rPr>
        <w:t>o</w:t>
      </w:r>
      <w:r w:rsidR="000D08A3">
        <w:rPr>
          <w:rFonts w:ascii="Aptos" w:hAnsi="Aptos" w:cs="Segoe UI"/>
          <w:sz w:val="22"/>
          <w:szCs w:val="22"/>
        </w:rPr>
        <w:t xml:space="preserve">r </w:t>
      </w:r>
      <w:r w:rsidR="56F7CAAE" w:rsidRPr="30B48483">
        <w:rPr>
          <w:rFonts w:ascii="Aptos" w:hAnsi="Aptos" w:cs="Segoe UI"/>
          <w:sz w:val="22"/>
          <w:szCs w:val="22"/>
        </w:rPr>
        <w:t>more</w:t>
      </w:r>
      <w:r w:rsidR="007952B0" w:rsidRPr="001072C1">
        <w:rPr>
          <w:rFonts w:ascii="Aptos" w:hAnsi="Aptos" w:cs="Segoe UI"/>
          <w:sz w:val="22"/>
          <w:szCs w:val="22"/>
        </w:rPr>
        <w:t xml:space="preserve"> of the total course delivery hours </w:t>
      </w:r>
      <w:r w:rsidR="006230CF">
        <w:rPr>
          <w:rFonts w:ascii="Aptos" w:hAnsi="Aptos" w:cs="Segoe UI"/>
          <w:sz w:val="22"/>
          <w:szCs w:val="22"/>
        </w:rPr>
        <w:t>are delivered by a partner institutio</w:t>
      </w:r>
      <w:r w:rsidR="003959A5">
        <w:rPr>
          <w:rFonts w:ascii="Aptos" w:hAnsi="Aptos" w:cs="Segoe UI"/>
          <w:sz w:val="22"/>
          <w:szCs w:val="22"/>
        </w:rPr>
        <w:t>n</w:t>
      </w:r>
      <w:r w:rsidR="003959A5">
        <w:rPr>
          <w:rStyle w:val="FootnoteReference"/>
          <w:rFonts w:ascii="Aptos" w:hAnsi="Aptos" w:cs="Segoe UI"/>
          <w:sz w:val="22"/>
          <w:szCs w:val="22"/>
        </w:rPr>
        <w:footnoteReference w:id="1"/>
      </w:r>
      <w:r w:rsidR="003959A5">
        <w:t>.</w:t>
      </w:r>
      <w:r w:rsidR="5B5F0257" w:rsidRPr="0033450D">
        <w:rPr>
          <w:rFonts w:ascii="Aptos" w:hAnsi="Aptos" w:cs="Segoe UI"/>
          <w:sz w:val="22"/>
          <w:szCs w:val="22"/>
        </w:rPr>
        <w:t xml:space="preserve"> </w:t>
      </w:r>
      <w:r w:rsidR="0093708C" w:rsidRPr="0033450D">
        <w:rPr>
          <w:rFonts w:ascii="Aptos" w:hAnsi="Aptos" w:cs="Segoe UI"/>
          <w:sz w:val="22"/>
          <w:szCs w:val="22"/>
        </w:rPr>
        <w:t>Where approved, the College award</w:t>
      </w:r>
      <w:r w:rsidR="001F237F">
        <w:rPr>
          <w:rFonts w:ascii="Aptos" w:hAnsi="Aptos" w:cs="Segoe UI"/>
          <w:sz w:val="22"/>
          <w:szCs w:val="22"/>
        </w:rPr>
        <w:t>s</w:t>
      </w:r>
      <w:r w:rsidR="0093708C" w:rsidRPr="0033450D">
        <w:rPr>
          <w:rFonts w:ascii="Aptos" w:hAnsi="Aptos" w:cs="Segoe UI"/>
          <w:sz w:val="22"/>
          <w:szCs w:val="22"/>
        </w:rPr>
        <w:t xml:space="preserve"> Birkbeck and not University of London degrees.</w:t>
      </w:r>
    </w:p>
    <w:p w14:paraId="7A63AF09" w14:textId="649006BD" w:rsidR="0A615D2F" w:rsidRPr="0033450D" w:rsidRDefault="0A615D2F" w:rsidP="0033450D">
      <w:pPr>
        <w:spacing w:before="81"/>
        <w:ind w:right="-20"/>
        <w:rPr>
          <w:rFonts w:ascii="Aptos" w:hAnsi="Aptos" w:cs="Segoe UI"/>
          <w:sz w:val="22"/>
          <w:szCs w:val="22"/>
        </w:rPr>
      </w:pPr>
    </w:p>
    <w:tbl>
      <w:tblPr>
        <w:tblStyle w:val="TableGrid"/>
        <w:tblW w:w="0" w:type="auto"/>
        <w:tblLook w:val="04A0" w:firstRow="1" w:lastRow="0" w:firstColumn="1" w:lastColumn="0" w:noHBand="0" w:noVBand="1"/>
      </w:tblPr>
      <w:tblGrid>
        <w:gridCol w:w="3385"/>
        <w:gridCol w:w="6396"/>
      </w:tblGrid>
      <w:tr w:rsidR="0A615D2F" w:rsidRPr="007B71A7" w14:paraId="312083B8" w14:textId="77777777" w:rsidTr="00FB2D48">
        <w:trPr>
          <w:trHeight w:val="304"/>
        </w:trPr>
        <w:tc>
          <w:tcPr>
            <w:tcW w:w="3385" w:type="dxa"/>
          </w:tcPr>
          <w:p w14:paraId="5CA61AB4" w14:textId="77777777" w:rsidR="0A615D2F" w:rsidRPr="0033450D" w:rsidRDefault="0A615D2F" w:rsidP="0A615D2F">
            <w:pPr>
              <w:rPr>
                <w:rFonts w:ascii="Aptos" w:hAnsi="Aptos" w:cs="Segoe UI"/>
                <w:b/>
                <w:bCs/>
                <w:sz w:val="22"/>
                <w:szCs w:val="22"/>
              </w:rPr>
            </w:pPr>
            <w:r w:rsidRPr="0033450D">
              <w:rPr>
                <w:rFonts w:ascii="Aptos" w:hAnsi="Aptos" w:cs="Segoe UI"/>
                <w:b/>
                <w:bCs/>
                <w:sz w:val="22"/>
                <w:szCs w:val="22"/>
              </w:rPr>
              <w:t>Responsibility</w:t>
            </w:r>
          </w:p>
          <w:p w14:paraId="3D559D89" w14:textId="77777777" w:rsidR="0A615D2F" w:rsidRPr="0033450D" w:rsidRDefault="0A615D2F" w:rsidP="0A615D2F">
            <w:pPr>
              <w:rPr>
                <w:rFonts w:ascii="Aptos" w:hAnsi="Aptos" w:cs="Segoe UI"/>
                <w:sz w:val="22"/>
                <w:szCs w:val="22"/>
              </w:rPr>
            </w:pPr>
          </w:p>
        </w:tc>
        <w:tc>
          <w:tcPr>
            <w:tcW w:w="6396" w:type="dxa"/>
          </w:tcPr>
          <w:p w14:paraId="05B6C53B" w14:textId="77777777" w:rsidR="0A615D2F" w:rsidRPr="0033450D" w:rsidRDefault="0A615D2F" w:rsidP="0A615D2F">
            <w:pPr>
              <w:rPr>
                <w:rFonts w:ascii="Aptos" w:hAnsi="Aptos" w:cs="Segoe UI"/>
                <w:b/>
                <w:bCs/>
                <w:sz w:val="22"/>
                <w:szCs w:val="22"/>
              </w:rPr>
            </w:pPr>
            <w:r w:rsidRPr="0033450D">
              <w:rPr>
                <w:rFonts w:ascii="Aptos" w:hAnsi="Aptos" w:cs="Segoe UI"/>
                <w:b/>
                <w:bCs/>
                <w:sz w:val="22"/>
                <w:szCs w:val="22"/>
              </w:rPr>
              <w:t>Approach</w:t>
            </w:r>
          </w:p>
        </w:tc>
      </w:tr>
      <w:tr w:rsidR="0A615D2F" w:rsidRPr="007B71A7" w14:paraId="54E7EDA0" w14:textId="77777777" w:rsidTr="00FB2D48">
        <w:trPr>
          <w:trHeight w:val="304"/>
        </w:trPr>
        <w:tc>
          <w:tcPr>
            <w:tcW w:w="3385" w:type="dxa"/>
          </w:tcPr>
          <w:p w14:paraId="09894475"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Programme Intellectual Property</w:t>
            </w:r>
          </w:p>
        </w:tc>
        <w:tc>
          <w:tcPr>
            <w:tcW w:w="6396" w:type="dxa"/>
          </w:tcPr>
          <w:p w14:paraId="0F8D3601" w14:textId="08494A45" w:rsidR="0A615D2F" w:rsidRPr="0033450D" w:rsidRDefault="0A615D2F" w:rsidP="0A615D2F">
            <w:pPr>
              <w:rPr>
                <w:rFonts w:ascii="Aptos" w:hAnsi="Aptos" w:cs="Segoe UI"/>
                <w:b/>
                <w:bCs/>
                <w:sz w:val="22"/>
                <w:szCs w:val="22"/>
              </w:rPr>
            </w:pPr>
            <w:r w:rsidRPr="0033450D">
              <w:rPr>
                <w:rFonts w:ascii="Aptos" w:hAnsi="Aptos" w:cs="Segoe UI"/>
                <w:sz w:val="22"/>
                <w:szCs w:val="22"/>
              </w:rPr>
              <w:t xml:space="preserve">Birkbeck </w:t>
            </w:r>
          </w:p>
        </w:tc>
      </w:tr>
      <w:tr w:rsidR="0A615D2F" w:rsidRPr="007B71A7" w14:paraId="17E85BAA" w14:textId="77777777" w:rsidTr="00FB2D48">
        <w:trPr>
          <w:trHeight w:val="304"/>
        </w:trPr>
        <w:tc>
          <w:tcPr>
            <w:tcW w:w="3385" w:type="dxa"/>
          </w:tcPr>
          <w:p w14:paraId="43F57174"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Programme Delivery and Assessment</w:t>
            </w:r>
          </w:p>
        </w:tc>
        <w:tc>
          <w:tcPr>
            <w:tcW w:w="6396" w:type="dxa"/>
          </w:tcPr>
          <w:p w14:paraId="3E3E49E7" w14:textId="27C30C42" w:rsidR="0A615D2F" w:rsidRDefault="28051ED8" w:rsidP="0A615D2F">
            <w:pPr>
              <w:rPr>
                <w:rFonts w:ascii="Aptos" w:hAnsi="Aptos" w:cs="Segoe UI"/>
                <w:sz w:val="22"/>
                <w:szCs w:val="22"/>
              </w:rPr>
            </w:pPr>
            <w:r w:rsidRPr="0033450D">
              <w:rPr>
                <w:rFonts w:ascii="Aptos" w:hAnsi="Aptos" w:cs="Segoe UI"/>
                <w:sz w:val="22"/>
                <w:szCs w:val="22"/>
              </w:rPr>
              <w:t>Partner</w:t>
            </w:r>
            <w:r w:rsidR="00030385">
              <w:rPr>
                <w:rFonts w:ascii="Aptos" w:hAnsi="Aptos" w:cs="Segoe UI"/>
                <w:sz w:val="22"/>
                <w:szCs w:val="22"/>
              </w:rPr>
              <w:t>,</w:t>
            </w:r>
            <w:r w:rsidR="372D9C04" w:rsidRPr="0033450D">
              <w:rPr>
                <w:rFonts w:ascii="Aptos" w:hAnsi="Aptos" w:cs="Segoe UI"/>
                <w:sz w:val="22"/>
                <w:szCs w:val="22"/>
              </w:rPr>
              <w:t xml:space="preserve"> </w:t>
            </w:r>
            <w:r w:rsidRPr="0033450D">
              <w:rPr>
                <w:rFonts w:ascii="Aptos" w:hAnsi="Aptos" w:cs="Segoe UI"/>
                <w:sz w:val="22"/>
                <w:szCs w:val="22"/>
              </w:rPr>
              <w:t>following Birkbeck assessment strategy and management</w:t>
            </w:r>
          </w:p>
          <w:p w14:paraId="189551E1" w14:textId="77777777" w:rsidR="00030385" w:rsidRDefault="00030385" w:rsidP="0A615D2F">
            <w:pPr>
              <w:rPr>
                <w:rFonts w:ascii="Aptos" w:hAnsi="Aptos" w:cs="Segoe UI"/>
                <w:sz w:val="22"/>
                <w:szCs w:val="22"/>
              </w:rPr>
            </w:pPr>
          </w:p>
          <w:p w14:paraId="28487D4C" w14:textId="268AC52D" w:rsidR="0A615D2F" w:rsidRPr="0033450D" w:rsidRDefault="00030385" w:rsidP="0A615D2F">
            <w:pPr>
              <w:rPr>
                <w:rFonts w:ascii="Aptos" w:hAnsi="Aptos" w:cs="Segoe UI"/>
                <w:sz w:val="22"/>
                <w:szCs w:val="22"/>
              </w:rPr>
            </w:pPr>
            <w:r>
              <w:rPr>
                <w:rFonts w:ascii="Aptos" w:hAnsi="Aptos" w:cs="Segoe UI"/>
                <w:sz w:val="22"/>
                <w:szCs w:val="22"/>
              </w:rPr>
              <w:t>(Where the partner is deliver</w:t>
            </w:r>
            <w:r w:rsidR="00F25703">
              <w:rPr>
                <w:rFonts w:ascii="Aptos" w:hAnsi="Aptos" w:cs="Segoe UI"/>
                <w:sz w:val="22"/>
                <w:szCs w:val="22"/>
              </w:rPr>
              <w:t xml:space="preserve">ing 50% or more of a programme, delivery and assessment </w:t>
            </w:r>
            <w:r w:rsidR="001E04E1">
              <w:rPr>
                <w:rFonts w:ascii="Aptos" w:hAnsi="Aptos" w:cs="Segoe UI"/>
                <w:sz w:val="22"/>
                <w:szCs w:val="22"/>
              </w:rPr>
              <w:t xml:space="preserve">would be split representatively between </w:t>
            </w:r>
            <w:r w:rsidR="001545CB">
              <w:rPr>
                <w:rFonts w:ascii="Aptos" w:hAnsi="Aptos" w:cs="Segoe UI"/>
                <w:sz w:val="22"/>
                <w:szCs w:val="22"/>
              </w:rPr>
              <w:t>Birkbeck</w:t>
            </w:r>
            <w:r w:rsidR="001E04E1">
              <w:rPr>
                <w:rFonts w:ascii="Aptos" w:hAnsi="Aptos" w:cs="Segoe UI"/>
                <w:sz w:val="22"/>
                <w:szCs w:val="22"/>
              </w:rPr>
              <w:t xml:space="preserve"> and the partner)</w:t>
            </w:r>
          </w:p>
        </w:tc>
      </w:tr>
      <w:tr w:rsidR="0A615D2F" w:rsidRPr="007B71A7" w14:paraId="18F48782" w14:textId="77777777" w:rsidTr="00FB2D48">
        <w:trPr>
          <w:trHeight w:val="304"/>
        </w:trPr>
        <w:tc>
          <w:tcPr>
            <w:tcW w:w="3385" w:type="dxa"/>
          </w:tcPr>
          <w:p w14:paraId="590A8B7D"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Award</w:t>
            </w:r>
          </w:p>
        </w:tc>
        <w:tc>
          <w:tcPr>
            <w:tcW w:w="6396" w:type="dxa"/>
          </w:tcPr>
          <w:p w14:paraId="5D42B33C" w14:textId="2DA9E30D" w:rsidR="0A615D2F" w:rsidRPr="0033450D" w:rsidRDefault="0A615D2F" w:rsidP="0A615D2F">
            <w:pPr>
              <w:rPr>
                <w:rFonts w:ascii="Aptos" w:hAnsi="Aptos" w:cs="Segoe UI"/>
                <w:sz w:val="22"/>
                <w:szCs w:val="22"/>
              </w:rPr>
            </w:pPr>
            <w:r w:rsidRPr="0033450D">
              <w:rPr>
                <w:rFonts w:ascii="Aptos" w:hAnsi="Aptos" w:cs="Segoe UI"/>
                <w:sz w:val="22"/>
                <w:szCs w:val="22"/>
              </w:rPr>
              <w:t>Birkbeck</w:t>
            </w:r>
          </w:p>
        </w:tc>
      </w:tr>
      <w:tr w:rsidR="0A615D2F" w:rsidRPr="007B71A7" w14:paraId="19ED51A6" w14:textId="77777777" w:rsidTr="00FB2D48">
        <w:trPr>
          <w:trHeight w:val="304"/>
        </w:trPr>
        <w:tc>
          <w:tcPr>
            <w:tcW w:w="3385" w:type="dxa"/>
          </w:tcPr>
          <w:p w14:paraId="4D93192B"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Academic regulations and policies</w:t>
            </w:r>
          </w:p>
        </w:tc>
        <w:tc>
          <w:tcPr>
            <w:tcW w:w="6396" w:type="dxa"/>
          </w:tcPr>
          <w:p w14:paraId="41C2007D" w14:textId="5638BD22" w:rsidR="0A615D2F" w:rsidRPr="0033450D" w:rsidRDefault="0A615D2F" w:rsidP="0A615D2F">
            <w:pPr>
              <w:rPr>
                <w:rFonts w:ascii="Aptos" w:hAnsi="Aptos" w:cs="Segoe UI"/>
                <w:sz w:val="22"/>
                <w:szCs w:val="22"/>
              </w:rPr>
            </w:pPr>
            <w:r w:rsidRPr="0033450D">
              <w:rPr>
                <w:rFonts w:ascii="Aptos" w:hAnsi="Aptos" w:cs="Segoe UI"/>
                <w:sz w:val="22"/>
                <w:szCs w:val="22"/>
              </w:rPr>
              <w:t>Birkbeck</w:t>
            </w:r>
          </w:p>
        </w:tc>
      </w:tr>
      <w:tr w:rsidR="0A615D2F" w:rsidRPr="007B71A7" w14:paraId="10E64E95" w14:textId="77777777" w:rsidTr="00FB2D48">
        <w:trPr>
          <w:trHeight w:val="304"/>
        </w:trPr>
        <w:tc>
          <w:tcPr>
            <w:tcW w:w="3385" w:type="dxa"/>
          </w:tcPr>
          <w:p w14:paraId="0C64BA6A" w14:textId="6E8A372B" w:rsidR="0A615D2F" w:rsidRPr="0033450D" w:rsidRDefault="0A615D2F" w:rsidP="0A615D2F">
            <w:pPr>
              <w:rPr>
                <w:rFonts w:ascii="Aptos" w:hAnsi="Aptos" w:cs="Segoe UI"/>
                <w:b/>
                <w:bCs/>
                <w:sz w:val="22"/>
                <w:szCs w:val="22"/>
              </w:rPr>
            </w:pPr>
            <w:r w:rsidRPr="0033450D">
              <w:rPr>
                <w:rFonts w:ascii="Aptos" w:hAnsi="Aptos" w:cs="Segoe UI"/>
                <w:b/>
                <w:bCs/>
                <w:sz w:val="22"/>
                <w:szCs w:val="22"/>
              </w:rPr>
              <w:t>Student contractual relationship</w:t>
            </w:r>
          </w:p>
        </w:tc>
        <w:tc>
          <w:tcPr>
            <w:tcW w:w="6396" w:type="dxa"/>
          </w:tcPr>
          <w:p w14:paraId="696072A4" w14:textId="71ACEC7F" w:rsidR="0A615D2F" w:rsidRPr="0033450D" w:rsidRDefault="0B2FC9CE" w:rsidP="0A615D2F">
            <w:pPr>
              <w:rPr>
                <w:rFonts w:ascii="Aptos" w:hAnsi="Aptos" w:cs="Segoe UI"/>
                <w:sz w:val="22"/>
                <w:szCs w:val="22"/>
              </w:rPr>
            </w:pPr>
            <w:r w:rsidRPr="0033450D">
              <w:rPr>
                <w:rFonts w:ascii="Aptos" w:hAnsi="Aptos" w:cs="Segoe UI"/>
                <w:sz w:val="22"/>
                <w:szCs w:val="22"/>
              </w:rPr>
              <w:t>UK</w:t>
            </w:r>
            <w:r w:rsidR="3615FBEF" w:rsidRPr="0033450D">
              <w:rPr>
                <w:rFonts w:ascii="Aptos" w:hAnsi="Aptos" w:cs="Segoe UI"/>
                <w:sz w:val="22"/>
                <w:szCs w:val="22"/>
              </w:rPr>
              <w:t xml:space="preserve"> – </w:t>
            </w:r>
            <w:r w:rsidRPr="0033450D">
              <w:rPr>
                <w:rFonts w:ascii="Aptos" w:hAnsi="Aptos" w:cs="Segoe UI"/>
                <w:sz w:val="22"/>
                <w:szCs w:val="22"/>
              </w:rPr>
              <w:t>B</w:t>
            </w:r>
            <w:r w:rsidR="28051ED8" w:rsidRPr="0033450D">
              <w:rPr>
                <w:rFonts w:ascii="Aptos" w:hAnsi="Aptos" w:cs="Segoe UI"/>
                <w:sz w:val="22"/>
                <w:szCs w:val="22"/>
              </w:rPr>
              <w:t>irkbeck</w:t>
            </w:r>
            <w:r w:rsidR="3615FBEF" w:rsidRPr="0033450D">
              <w:rPr>
                <w:rFonts w:ascii="Aptos" w:hAnsi="Aptos" w:cs="Segoe UI"/>
                <w:sz w:val="22"/>
                <w:szCs w:val="22"/>
              </w:rPr>
              <w:t>; International - Partner</w:t>
            </w:r>
          </w:p>
        </w:tc>
      </w:tr>
      <w:tr w:rsidR="0A615D2F" w:rsidRPr="007B71A7" w14:paraId="54A49BBD" w14:textId="77777777" w:rsidTr="00FB2D48">
        <w:trPr>
          <w:trHeight w:val="304"/>
        </w:trPr>
        <w:tc>
          <w:tcPr>
            <w:tcW w:w="3385" w:type="dxa"/>
          </w:tcPr>
          <w:p w14:paraId="78E07FCD"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Student Protection Plan</w:t>
            </w:r>
          </w:p>
        </w:tc>
        <w:tc>
          <w:tcPr>
            <w:tcW w:w="6396" w:type="dxa"/>
          </w:tcPr>
          <w:p w14:paraId="18675485" w14:textId="302D3FE9" w:rsidR="0A615D2F" w:rsidRPr="0033450D" w:rsidRDefault="048A5316" w:rsidP="0A615D2F">
            <w:pPr>
              <w:rPr>
                <w:rFonts w:ascii="Aptos" w:hAnsi="Aptos" w:cs="Segoe UI"/>
                <w:sz w:val="22"/>
                <w:szCs w:val="22"/>
              </w:rPr>
            </w:pPr>
            <w:r w:rsidRPr="0033450D">
              <w:rPr>
                <w:rFonts w:ascii="Aptos" w:hAnsi="Aptos" w:cs="Segoe UI"/>
                <w:sz w:val="22"/>
                <w:szCs w:val="22"/>
              </w:rPr>
              <w:t>UK – Birkbeck; International - Partner</w:t>
            </w:r>
          </w:p>
        </w:tc>
      </w:tr>
      <w:tr w:rsidR="0A615D2F" w:rsidRPr="007B71A7" w14:paraId="3CBD699F" w14:textId="77777777" w:rsidTr="00FB2D48">
        <w:trPr>
          <w:trHeight w:val="304"/>
        </w:trPr>
        <w:tc>
          <w:tcPr>
            <w:tcW w:w="3385" w:type="dxa"/>
          </w:tcPr>
          <w:p w14:paraId="56C5E959"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Birkbeck approval process</w:t>
            </w:r>
          </w:p>
        </w:tc>
        <w:tc>
          <w:tcPr>
            <w:tcW w:w="6396" w:type="dxa"/>
          </w:tcPr>
          <w:p w14:paraId="5B9FCD04" w14:textId="3A891CD3" w:rsidR="0A615D2F" w:rsidRPr="0033450D" w:rsidRDefault="0A615D2F" w:rsidP="0A615D2F">
            <w:pPr>
              <w:rPr>
                <w:rFonts w:ascii="Aptos" w:hAnsi="Aptos" w:cs="Segoe UI"/>
                <w:sz w:val="22"/>
                <w:szCs w:val="22"/>
              </w:rPr>
            </w:pPr>
            <w:r w:rsidRPr="0033450D">
              <w:rPr>
                <w:rFonts w:ascii="Aptos" w:hAnsi="Aptos" w:cs="Segoe UI"/>
                <w:sz w:val="22"/>
                <w:szCs w:val="22"/>
              </w:rPr>
              <w:t>Stage</w:t>
            </w:r>
            <w:r w:rsidR="00A1280A">
              <w:rPr>
                <w:rFonts w:ascii="Aptos" w:hAnsi="Aptos" w:cs="Segoe UI"/>
                <w:sz w:val="22"/>
                <w:szCs w:val="22"/>
              </w:rPr>
              <w:t xml:space="preserve">s 0-3 </w:t>
            </w:r>
            <w:r w:rsidRPr="0033450D">
              <w:rPr>
                <w:rFonts w:ascii="Aptos" w:hAnsi="Aptos" w:cs="Segoe UI"/>
                <w:sz w:val="22"/>
                <w:szCs w:val="22"/>
              </w:rPr>
              <w:t>apply</w:t>
            </w:r>
          </w:p>
        </w:tc>
      </w:tr>
      <w:tr w:rsidR="0A615D2F" w:rsidRPr="007B71A7" w14:paraId="6822F99C" w14:textId="77777777" w:rsidTr="00FB2D48">
        <w:trPr>
          <w:trHeight w:val="304"/>
        </w:trPr>
        <w:tc>
          <w:tcPr>
            <w:tcW w:w="3385" w:type="dxa"/>
          </w:tcPr>
          <w:p w14:paraId="73FDDAE4" w14:textId="67F6CD4A" w:rsidR="0A615D2F" w:rsidRPr="0033450D" w:rsidRDefault="0A615D2F" w:rsidP="0A615D2F">
            <w:pPr>
              <w:rPr>
                <w:rFonts w:ascii="Aptos" w:hAnsi="Aptos" w:cs="Segoe UI"/>
                <w:sz w:val="22"/>
                <w:szCs w:val="22"/>
              </w:rPr>
            </w:pPr>
            <w:r w:rsidRPr="0033450D">
              <w:rPr>
                <w:rFonts w:ascii="Aptos" w:hAnsi="Aptos" w:cs="Segoe UI"/>
                <w:b/>
                <w:bCs/>
                <w:sz w:val="22"/>
                <w:szCs w:val="22"/>
              </w:rPr>
              <w:t xml:space="preserve">Birkbeck focus </w:t>
            </w:r>
            <w:proofErr w:type="gramStart"/>
            <w:r w:rsidRPr="0033450D">
              <w:rPr>
                <w:rFonts w:ascii="Aptos" w:hAnsi="Aptos" w:cs="Segoe UI"/>
                <w:b/>
                <w:bCs/>
                <w:sz w:val="22"/>
                <w:szCs w:val="22"/>
              </w:rPr>
              <w:t>in</w:t>
            </w:r>
            <w:proofErr w:type="gramEnd"/>
            <w:r w:rsidRPr="0033450D">
              <w:rPr>
                <w:rFonts w:ascii="Aptos" w:hAnsi="Aptos" w:cs="Segoe UI"/>
                <w:b/>
                <w:bCs/>
                <w:sz w:val="22"/>
                <w:szCs w:val="22"/>
              </w:rPr>
              <w:t xml:space="preserve"> the Stage 1 process</w:t>
            </w:r>
          </w:p>
        </w:tc>
        <w:tc>
          <w:tcPr>
            <w:tcW w:w="6396" w:type="dxa"/>
          </w:tcPr>
          <w:p w14:paraId="1CE8148C" w14:textId="5280A04C" w:rsidR="0A615D2F" w:rsidRPr="0033450D" w:rsidRDefault="0A615D2F" w:rsidP="0A615D2F">
            <w:pPr>
              <w:rPr>
                <w:rFonts w:ascii="Aptos" w:hAnsi="Aptos" w:cs="Segoe UI"/>
                <w:sz w:val="22"/>
                <w:szCs w:val="22"/>
              </w:rPr>
            </w:pPr>
            <w:r w:rsidRPr="0033450D">
              <w:rPr>
                <w:rFonts w:ascii="Aptos" w:hAnsi="Aptos" w:cs="Segoe UI"/>
                <w:sz w:val="22"/>
                <w:szCs w:val="22"/>
              </w:rPr>
              <w:t>The qualifications of staff, the student support and the learning resources available at the partner</w:t>
            </w:r>
          </w:p>
        </w:tc>
      </w:tr>
      <w:tr w:rsidR="0A615D2F" w:rsidRPr="007B71A7" w14:paraId="1A47A513" w14:textId="77777777" w:rsidTr="00FB2D48">
        <w:trPr>
          <w:trHeight w:val="304"/>
        </w:trPr>
        <w:tc>
          <w:tcPr>
            <w:tcW w:w="3385" w:type="dxa"/>
          </w:tcPr>
          <w:p w14:paraId="058D1B31"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Student data and statutory returns</w:t>
            </w:r>
          </w:p>
        </w:tc>
        <w:tc>
          <w:tcPr>
            <w:tcW w:w="6396" w:type="dxa"/>
          </w:tcPr>
          <w:p w14:paraId="55888727" w14:textId="78130CC6" w:rsidR="0A615D2F" w:rsidRPr="0033450D" w:rsidRDefault="0A615D2F" w:rsidP="0A615D2F">
            <w:pPr>
              <w:rPr>
                <w:rFonts w:ascii="Aptos" w:hAnsi="Aptos" w:cs="Segoe UI"/>
                <w:sz w:val="22"/>
                <w:szCs w:val="22"/>
              </w:rPr>
            </w:pPr>
            <w:r w:rsidRPr="0033450D">
              <w:rPr>
                <w:rFonts w:ascii="Aptos" w:hAnsi="Aptos" w:cs="Segoe UI"/>
                <w:sz w:val="22"/>
                <w:szCs w:val="22"/>
              </w:rPr>
              <w:t>Birkbeck</w:t>
            </w:r>
          </w:p>
        </w:tc>
      </w:tr>
      <w:tr w:rsidR="0A615D2F" w:rsidRPr="007B71A7" w14:paraId="32BF16EF" w14:textId="77777777" w:rsidTr="00FB2D48">
        <w:trPr>
          <w:trHeight w:val="304"/>
        </w:trPr>
        <w:tc>
          <w:tcPr>
            <w:tcW w:w="3385" w:type="dxa"/>
          </w:tcPr>
          <w:p w14:paraId="65A2B2B3" w14:textId="0E699C52" w:rsidR="0A615D2F" w:rsidRPr="0033450D" w:rsidRDefault="0A615D2F" w:rsidP="0A615D2F">
            <w:pPr>
              <w:rPr>
                <w:rFonts w:ascii="Aptos" w:hAnsi="Aptos" w:cs="Segoe UI"/>
                <w:b/>
                <w:bCs/>
                <w:sz w:val="22"/>
                <w:szCs w:val="22"/>
              </w:rPr>
            </w:pPr>
            <w:r w:rsidRPr="0033450D">
              <w:rPr>
                <w:rFonts w:ascii="Aptos" w:hAnsi="Aptos" w:cs="Segoe UI"/>
                <w:b/>
                <w:bCs/>
                <w:sz w:val="22"/>
                <w:szCs w:val="22"/>
              </w:rPr>
              <w:t>Monitoring</w:t>
            </w:r>
          </w:p>
        </w:tc>
        <w:tc>
          <w:tcPr>
            <w:tcW w:w="6396" w:type="dxa"/>
          </w:tcPr>
          <w:p w14:paraId="36747197" w14:textId="0461FD3C" w:rsidR="0A615D2F" w:rsidRPr="0033450D" w:rsidRDefault="0A615D2F" w:rsidP="0A615D2F">
            <w:pPr>
              <w:rPr>
                <w:rFonts w:ascii="Aptos" w:hAnsi="Aptos" w:cs="Segoe UI"/>
                <w:sz w:val="22"/>
                <w:szCs w:val="22"/>
              </w:rPr>
            </w:pPr>
            <w:r w:rsidRPr="0033450D">
              <w:rPr>
                <w:rFonts w:ascii="Aptos" w:hAnsi="Aptos" w:cs="Segoe UI"/>
                <w:sz w:val="22"/>
                <w:szCs w:val="22"/>
              </w:rPr>
              <w:t xml:space="preserve">Annual review in line with on-campus provision to ensure </w:t>
            </w:r>
            <w:proofErr w:type="spellStart"/>
            <w:r w:rsidRPr="0033450D">
              <w:rPr>
                <w:rFonts w:ascii="Aptos" w:hAnsi="Aptos" w:cs="Segoe UI"/>
                <w:sz w:val="22"/>
                <w:szCs w:val="22"/>
              </w:rPr>
              <w:t>OfS</w:t>
            </w:r>
            <w:proofErr w:type="spellEnd"/>
            <w:r w:rsidRPr="0033450D">
              <w:rPr>
                <w:rFonts w:ascii="Aptos" w:hAnsi="Aptos" w:cs="Segoe UI"/>
                <w:sz w:val="22"/>
                <w:szCs w:val="22"/>
              </w:rPr>
              <w:t xml:space="preserve"> B metrics, and sustainability of appropriate facilities</w:t>
            </w:r>
          </w:p>
        </w:tc>
      </w:tr>
      <w:tr w:rsidR="0A615D2F" w:rsidRPr="007B71A7" w14:paraId="1B2C646E" w14:textId="77777777" w:rsidTr="00FB2D48">
        <w:trPr>
          <w:trHeight w:val="304"/>
        </w:trPr>
        <w:tc>
          <w:tcPr>
            <w:tcW w:w="3385" w:type="dxa"/>
          </w:tcPr>
          <w:p w14:paraId="6ED1738E"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Overall risk level</w:t>
            </w:r>
          </w:p>
        </w:tc>
        <w:tc>
          <w:tcPr>
            <w:tcW w:w="6396" w:type="dxa"/>
          </w:tcPr>
          <w:p w14:paraId="00D8F5F3" w14:textId="482B1996" w:rsidR="0A615D2F" w:rsidRPr="0033450D" w:rsidRDefault="0A615D2F" w:rsidP="0A615D2F">
            <w:pPr>
              <w:rPr>
                <w:rFonts w:ascii="Aptos" w:hAnsi="Aptos" w:cs="Segoe UI"/>
                <w:sz w:val="22"/>
                <w:szCs w:val="22"/>
              </w:rPr>
            </w:pPr>
            <w:r w:rsidRPr="0033450D">
              <w:rPr>
                <w:rFonts w:ascii="Aptos" w:hAnsi="Aptos" w:cs="Segoe UI"/>
                <w:sz w:val="22"/>
                <w:szCs w:val="22"/>
              </w:rPr>
              <w:t>Very High</w:t>
            </w:r>
          </w:p>
        </w:tc>
      </w:tr>
    </w:tbl>
    <w:p w14:paraId="4485920D" w14:textId="77777777" w:rsidR="49079DC7" w:rsidRPr="0033450D" w:rsidRDefault="49079DC7" w:rsidP="0A615D2F">
      <w:pPr>
        <w:rPr>
          <w:rFonts w:ascii="Aptos" w:hAnsi="Aptos" w:cs="Segoe UI"/>
          <w:b/>
          <w:bCs/>
          <w:sz w:val="22"/>
          <w:szCs w:val="22"/>
        </w:rPr>
      </w:pPr>
      <w:r w:rsidRPr="0033450D">
        <w:rPr>
          <w:rFonts w:ascii="Aptos" w:hAnsi="Aptos" w:cs="Segoe UI"/>
          <w:b/>
          <w:bCs/>
          <w:sz w:val="22"/>
          <w:szCs w:val="22"/>
        </w:rPr>
        <w:br w:type="page"/>
      </w:r>
    </w:p>
    <w:p w14:paraId="440EB428" w14:textId="44382A80" w:rsidR="0A615D2F" w:rsidRPr="00306EA7" w:rsidRDefault="49079DC7" w:rsidP="001545CB">
      <w:pPr>
        <w:pStyle w:val="Heading3"/>
      </w:pPr>
      <w:bookmarkStart w:id="3" w:name="_Toc233884394"/>
      <w:r w:rsidRPr="00306EA7">
        <w:lastRenderedPageBreak/>
        <w:t>Validation</w:t>
      </w:r>
      <w:bookmarkEnd w:id="3"/>
      <w:r w:rsidRPr="00306EA7">
        <w:t xml:space="preserve"> </w:t>
      </w:r>
    </w:p>
    <w:p w14:paraId="24A34AA2" w14:textId="77777777" w:rsidR="00306EA7" w:rsidRDefault="00306EA7" w:rsidP="0093708C">
      <w:pPr>
        <w:spacing w:before="81"/>
        <w:ind w:right="-20"/>
        <w:rPr>
          <w:rFonts w:ascii="Aptos" w:hAnsi="Aptos" w:cs="Segoe UI"/>
          <w:sz w:val="22"/>
          <w:szCs w:val="22"/>
        </w:rPr>
      </w:pPr>
    </w:p>
    <w:p w14:paraId="0DFA50EF" w14:textId="0165420B" w:rsidR="49079DC7" w:rsidRPr="0033450D" w:rsidRDefault="49079DC7" w:rsidP="0093708C">
      <w:pPr>
        <w:spacing w:before="81"/>
        <w:ind w:right="-20"/>
        <w:rPr>
          <w:rFonts w:ascii="Aptos" w:hAnsi="Aptos" w:cs="Segoe UI"/>
          <w:sz w:val="22"/>
          <w:szCs w:val="22"/>
        </w:rPr>
      </w:pPr>
      <w:r w:rsidRPr="0033450D">
        <w:rPr>
          <w:rFonts w:ascii="Aptos" w:hAnsi="Aptos" w:cs="Segoe UI"/>
          <w:sz w:val="22"/>
          <w:szCs w:val="22"/>
        </w:rPr>
        <w:t>Birkbeck makes an award for a programme that is designed and delivered by a partner organisation</w:t>
      </w:r>
      <w:r w:rsidR="00CE49B7" w:rsidRPr="0033450D">
        <w:rPr>
          <w:rFonts w:ascii="Aptos" w:hAnsi="Aptos" w:cs="Segoe UI"/>
          <w:sz w:val="22"/>
          <w:szCs w:val="22"/>
        </w:rPr>
        <w:t xml:space="preserve">. </w:t>
      </w:r>
      <w:r w:rsidRPr="0033450D">
        <w:rPr>
          <w:rFonts w:ascii="Aptos" w:hAnsi="Aptos" w:cs="Segoe UI"/>
          <w:sz w:val="22"/>
          <w:szCs w:val="22"/>
        </w:rPr>
        <w:t>Where approved, the College awards Birkbeck and not University of London degrees.</w:t>
      </w:r>
    </w:p>
    <w:p w14:paraId="14CF3287" w14:textId="570D26BF" w:rsidR="0A615D2F" w:rsidRPr="0033450D" w:rsidRDefault="0A615D2F" w:rsidP="0A615D2F">
      <w:pPr>
        <w:spacing w:before="81"/>
        <w:ind w:left="20" w:right="-20" w:hanging="44"/>
        <w:rPr>
          <w:rFonts w:ascii="Aptos" w:hAnsi="Aptos" w:cs="Segoe UI"/>
          <w:sz w:val="22"/>
          <w:szCs w:val="22"/>
        </w:rPr>
      </w:pPr>
    </w:p>
    <w:tbl>
      <w:tblPr>
        <w:tblStyle w:val="TableGrid"/>
        <w:tblW w:w="0" w:type="auto"/>
        <w:tblLook w:val="04A0" w:firstRow="1" w:lastRow="0" w:firstColumn="1" w:lastColumn="0" w:noHBand="0" w:noVBand="1"/>
      </w:tblPr>
      <w:tblGrid>
        <w:gridCol w:w="3430"/>
        <w:gridCol w:w="6406"/>
      </w:tblGrid>
      <w:tr w:rsidR="0A615D2F" w:rsidRPr="007B71A7" w14:paraId="6A7C293C" w14:textId="77777777" w:rsidTr="00FB2D48">
        <w:trPr>
          <w:trHeight w:val="306"/>
        </w:trPr>
        <w:tc>
          <w:tcPr>
            <w:tcW w:w="3430" w:type="dxa"/>
          </w:tcPr>
          <w:p w14:paraId="17CFFD65" w14:textId="77777777" w:rsidR="0A615D2F" w:rsidRPr="0033450D" w:rsidRDefault="0A615D2F" w:rsidP="0A615D2F">
            <w:pPr>
              <w:rPr>
                <w:rFonts w:ascii="Aptos" w:hAnsi="Aptos" w:cs="Segoe UI"/>
                <w:b/>
                <w:bCs/>
                <w:sz w:val="22"/>
                <w:szCs w:val="22"/>
              </w:rPr>
            </w:pPr>
            <w:r w:rsidRPr="0033450D">
              <w:rPr>
                <w:rFonts w:ascii="Aptos" w:hAnsi="Aptos" w:cs="Segoe UI"/>
                <w:b/>
                <w:bCs/>
                <w:sz w:val="22"/>
                <w:szCs w:val="22"/>
              </w:rPr>
              <w:t>Responsibility</w:t>
            </w:r>
          </w:p>
          <w:p w14:paraId="59B6F3FD" w14:textId="77777777" w:rsidR="0A615D2F" w:rsidRPr="0033450D" w:rsidRDefault="0A615D2F" w:rsidP="0A615D2F">
            <w:pPr>
              <w:rPr>
                <w:rFonts w:ascii="Aptos" w:hAnsi="Aptos" w:cs="Segoe UI"/>
                <w:sz w:val="22"/>
                <w:szCs w:val="22"/>
              </w:rPr>
            </w:pPr>
          </w:p>
        </w:tc>
        <w:tc>
          <w:tcPr>
            <w:tcW w:w="6406" w:type="dxa"/>
          </w:tcPr>
          <w:p w14:paraId="7FE0D999" w14:textId="77777777" w:rsidR="0A615D2F" w:rsidRPr="0033450D" w:rsidRDefault="0A615D2F" w:rsidP="0A615D2F">
            <w:pPr>
              <w:rPr>
                <w:rFonts w:ascii="Aptos" w:hAnsi="Aptos" w:cs="Segoe UI"/>
                <w:b/>
                <w:bCs/>
                <w:sz w:val="22"/>
                <w:szCs w:val="22"/>
              </w:rPr>
            </w:pPr>
            <w:r w:rsidRPr="0033450D">
              <w:rPr>
                <w:rFonts w:ascii="Aptos" w:hAnsi="Aptos" w:cs="Segoe UI"/>
                <w:b/>
                <w:bCs/>
                <w:sz w:val="22"/>
                <w:szCs w:val="22"/>
              </w:rPr>
              <w:t>Approach</w:t>
            </w:r>
          </w:p>
        </w:tc>
      </w:tr>
      <w:tr w:rsidR="0A615D2F" w:rsidRPr="007B71A7" w14:paraId="76A8AA8D" w14:textId="77777777" w:rsidTr="00FB2D48">
        <w:trPr>
          <w:trHeight w:val="306"/>
        </w:trPr>
        <w:tc>
          <w:tcPr>
            <w:tcW w:w="3430" w:type="dxa"/>
          </w:tcPr>
          <w:p w14:paraId="018C03EF"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Programme Intellectual Property</w:t>
            </w:r>
          </w:p>
        </w:tc>
        <w:tc>
          <w:tcPr>
            <w:tcW w:w="6406" w:type="dxa"/>
          </w:tcPr>
          <w:p w14:paraId="1BB50EFC" w14:textId="73F29645" w:rsidR="0A615D2F" w:rsidRPr="0033450D" w:rsidRDefault="0A615D2F" w:rsidP="0A615D2F">
            <w:pPr>
              <w:rPr>
                <w:rFonts w:ascii="Aptos" w:hAnsi="Aptos" w:cs="Segoe UI"/>
                <w:b/>
                <w:bCs/>
                <w:sz w:val="22"/>
                <w:szCs w:val="22"/>
              </w:rPr>
            </w:pPr>
            <w:r w:rsidRPr="0033450D">
              <w:rPr>
                <w:rFonts w:ascii="Aptos" w:hAnsi="Aptos" w:cs="Segoe UI"/>
                <w:sz w:val="22"/>
                <w:szCs w:val="22"/>
              </w:rPr>
              <w:t>Partner</w:t>
            </w:r>
          </w:p>
        </w:tc>
      </w:tr>
      <w:tr w:rsidR="0A615D2F" w:rsidRPr="007B71A7" w14:paraId="466E7291" w14:textId="77777777" w:rsidTr="00FB2D48">
        <w:trPr>
          <w:trHeight w:val="306"/>
        </w:trPr>
        <w:tc>
          <w:tcPr>
            <w:tcW w:w="3430" w:type="dxa"/>
          </w:tcPr>
          <w:p w14:paraId="56591C30"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Programme Delivery and Assessment</w:t>
            </w:r>
          </w:p>
        </w:tc>
        <w:tc>
          <w:tcPr>
            <w:tcW w:w="6406" w:type="dxa"/>
          </w:tcPr>
          <w:p w14:paraId="3F927211" w14:textId="6ACF3E7C" w:rsidR="0A615D2F" w:rsidRPr="0033450D" w:rsidRDefault="0A615D2F" w:rsidP="0A615D2F">
            <w:pPr>
              <w:rPr>
                <w:rFonts w:ascii="Aptos" w:hAnsi="Aptos" w:cs="Segoe UI"/>
                <w:sz w:val="22"/>
                <w:szCs w:val="22"/>
              </w:rPr>
            </w:pPr>
            <w:r w:rsidRPr="0033450D">
              <w:rPr>
                <w:rFonts w:ascii="Aptos" w:hAnsi="Aptos" w:cs="Segoe UI"/>
                <w:sz w:val="22"/>
                <w:szCs w:val="22"/>
              </w:rPr>
              <w:t xml:space="preserve">Partner </w:t>
            </w:r>
          </w:p>
        </w:tc>
      </w:tr>
      <w:tr w:rsidR="0A615D2F" w:rsidRPr="007B71A7" w14:paraId="105AB32D" w14:textId="77777777" w:rsidTr="00FB2D48">
        <w:trPr>
          <w:trHeight w:val="306"/>
        </w:trPr>
        <w:tc>
          <w:tcPr>
            <w:tcW w:w="3430" w:type="dxa"/>
          </w:tcPr>
          <w:p w14:paraId="4BA4E989"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Award</w:t>
            </w:r>
          </w:p>
        </w:tc>
        <w:tc>
          <w:tcPr>
            <w:tcW w:w="6406" w:type="dxa"/>
          </w:tcPr>
          <w:p w14:paraId="6B52F7C6" w14:textId="77777777" w:rsidR="0A615D2F" w:rsidRPr="0033450D" w:rsidRDefault="0A615D2F" w:rsidP="0A615D2F">
            <w:pPr>
              <w:rPr>
                <w:rFonts w:ascii="Aptos" w:hAnsi="Aptos" w:cs="Segoe UI"/>
                <w:sz w:val="22"/>
                <w:szCs w:val="22"/>
              </w:rPr>
            </w:pPr>
            <w:r w:rsidRPr="0033450D">
              <w:rPr>
                <w:rFonts w:ascii="Aptos" w:hAnsi="Aptos" w:cs="Segoe UI"/>
                <w:sz w:val="22"/>
                <w:szCs w:val="22"/>
              </w:rPr>
              <w:t>Birkbeck</w:t>
            </w:r>
          </w:p>
        </w:tc>
      </w:tr>
      <w:tr w:rsidR="0A615D2F" w:rsidRPr="007B71A7" w14:paraId="5CEDA6CD" w14:textId="77777777" w:rsidTr="00FB2D48">
        <w:trPr>
          <w:trHeight w:val="306"/>
        </w:trPr>
        <w:tc>
          <w:tcPr>
            <w:tcW w:w="3430" w:type="dxa"/>
          </w:tcPr>
          <w:p w14:paraId="11842EA9"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Academic regulations and policies</w:t>
            </w:r>
          </w:p>
        </w:tc>
        <w:tc>
          <w:tcPr>
            <w:tcW w:w="6406" w:type="dxa"/>
          </w:tcPr>
          <w:p w14:paraId="64941B7B" w14:textId="77777777" w:rsidR="0A615D2F" w:rsidRPr="0033450D" w:rsidRDefault="0A615D2F" w:rsidP="0A615D2F">
            <w:pPr>
              <w:rPr>
                <w:rFonts w:ascii="Aptos" w:hAnsi="Aptos" w:cs="Segoe UI"/>
                <w:sz w:val="22"/>
                <w:szCs w:val="22"/>
              </w:rPr>
            </w:pPr>
            <w:r w:rsidRPr="0033450D">
              <w:rPr>
                <w:rFonts w:ascii="Aptos" w:hAnsi="Aptos" w:cs="Segoe UI"/>
                <w:sz w:val="22"/>
                <w:szCs w:val="22"/>
              </w:rPr>
              <w:t>Birkbeck</w:t>
            </w:r>
          </w:p>
        </w:tc>
      </w:tr>
      <w:tr w:rsidR="0A615D2F" w:rsidRPr="007B71A7" w14:paraId="6951B854" w14:textId="77777777" w:rsidTr="00FB2D48">
        <w:trPr>
          <w:trHeight w:val="306"/>
        </w:trPr>
        <w:tc>
          <w:tcPr>
            <w:tcW w:w="3430" w:type="dxa"/>
          </w:tcPr>
          <w:p w14:paraId="0B7350FA" w14:textId="03782460" w:rsidR="0A615D2F" w:rsidRPr="0033450D" w:rsidRDefault="0A615D2F" w:rsidP="0A615D2F">
            <w:pPr>
              <w:rPr>
                <w:rFonts w:ascii="Aptos" w:hAnsi="Aptos" w:cs="Segoe UI"/>
                <w:b/>
                <w:bCs/>
                <w:sz w:val="22"/>
                <w:szCs w:val="22"/>
              </w:rPr>
            </w:pPr>
            <w:r w:rsidRPr="0033450D">
              <w:rPr>
                <w:rFonts w:ascii="Aptos" w:hAnsi="Aptos" w:cs="Segoe UI"/>
                <w:b/>
                <w:bCs/>
                <w:sz w:val="22"/>
                <w:szCs w:val="22"/>
              </w:rPr>
              <w:t>Student contractual relationship</w:t>
            </w:r>
          </w:p>
        </w:tc>
        <w:tc>
          <w:tcPr>
            <w:tcW w:w="6406" w:type="dxa"/>
          </w:tcPr>
          <w:p w14:paraId="7945C0D3" w14:textId="331835BE" w:rsidR="0A615D2F" w:rsidRPr="0033450D" w:rsidRDefault="0A615D2F" w:rsidP="0A615D2F">
            <w:pPr>
              <w:rPr>
                <w:rFonts w:ascii="Aptos" w:hAnsi="Aptos" w:cs="Segoe UI"/>
                <w:sz w:val="22"/>
                <w:szCs w:val="22"/>
              </w:rPr>
            </w:pPr>
            <w:r w:rsidRPr="0033450D">
              <w:rPr>
                <w:rFonts w:ascii="Aptos" w:hAnsi="Aptos" w:cs="Segoe UI"/>
                <w:sz w:val="22"/>
                <w:szCs w:val="22"/>
              </w:rPr>
              <w:t>Partner</w:t>
            </w:r>
          </w:p>
        </w:tc>
      </w:tr>
      <w:tr w:rsidR="0A615D2F" w:rsidRPr="007B71A7" w14:paraId="4747D06A" w14:textId="77777777" w:rsidTr="00FB2D48">
        <w:trPr>
          <w:trHeight w:val="306"/>
        </w:trPr>
        <w:tc>
          <w:tcPr>
            <w:tcW w:w="3430" w:type="dxa"/>
          </w:tcPr>
          <w:p w14:paraId="4EA7001C"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Student Protection Plan</w:t>
            </w:r>
          </w:p>
        </w:tc>
        <w:tc>
          <w:tcPr>
            <w:tcW w:w="6406" w:type="dxa"/>
          </w:tcPr>
          <w:p w14:paraId="58C1BF22" w14:textId="1A0D2B6E" w:rsidR="0A615D2F" w:rsidRPr="0033450D" w:rsidRDefault="0A615D2F" w:rsidP="0A615D2F">
            <w:pPr>
              <w:rPr>
                <w:rFonts w:ascii="Aptos" w:hAnsi="Aptos" w:cs="Segoe UI"/>
                <w:sz w:val="22"/>
                <w:szCs w:val="22"/>
              </w:rPr>
            </w:pPr>
            <w:r w:rsidRPr="0033450D">
              <w:rPr>
                <w:rFonts w:ascii="Aptos" w:hAnsi="Aptos" w:cs="Segoe UI"/>
                <w:sz w:val="22"/>
                <w:szCs w:val="22"/>
              </w:rPr>
              <w:t xml:space="preserve">Partner </w:t>
            </w:r>
          </w:p>
        </w:tc>
      </w:tr>
      <w:tr w:rsidR="0A615D2F" w:rsidRPr="007B71A7" w14:paraId="21BAF97F" w14:textId="77777777" w:rsidTr="00FB2D48">
        <w:trPr>
          <w:trHeight w:val="306"/>
        </w:trPr>
        <w:tc>
          <w:tcPr>
            <w:tcW w:w="3430" w:type="dxa"/>
          </w:tcPr>
          <w:p w14:paraId="17EA65BC"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Birkbeck approval process</w:t>
            </w:r>
          </w:p>
        </w:tc>
        <w:tc>
          <w:tcPr>
            <w:tcW w:w="6406" w:type="dxa"/>
          </w:tcPr>
          <w:p w14:paraId="0AEE25A8" w14:textId="76D8BE8A" w:rsidR="0A615D2F" w:rsidRPr="0033450D" w:rsidRDefault="00A1280A" w:rsidP="0A615D2F">
            <w:pPr>
              <w:rPr>
                <w:rFonts w:ascii="Aptos" w:hAnsi="Aptos" w:cs="Segoe UI"/>
                <w:sz w:val="22"/>
                <w:szCs w:val="22"/>
              </w:rPr>
            </w:pPr>
            <w:r w:rsidRPr="0033450D">
              <w:rPr>
                <w:rFonts w:ascii="Aptos" w:hAnsi="Aptos" w:cs="Segoe UI"/>
                <w:sz w:val="22"/>
                <w:szCs w:val="22"/>
              </w:rPr>
              <w:t>Stage</w:t>
            </w:r>
            <w:r>
              <w:rPr>
                <w:rFonts w:ascii="Aptos" w:hAnsi="Aptos" w:cs="Segoe UI"/>
                <w:sz w:val="22"/>
                <w:szCs w:val="22"/>
              </w:rPr>
              <w:t xml:space="preserve">s 0-3 </w:t>
            </w:r>
            <w:r w:rsidRPr="0033450D">
              <w:rPr>
                <w:rFonts w:ascii="Aptos" w:hAnsi="Aptos" w:cs="Segoe UI"/>
                <w:sz w:val="22"/>
                <w:szCs w:val="22"/>
              </w:rPr>
              <w:t>apply</w:t>
            </w:r>
          </w:p>
        </w:tc>
      </w:tr>
      <w:tr w:rsidR="0A615D2F" w:rsidRPr="007B71A7" w14:paraId="6AE535E0" w14:textId="77777777" w:rsidTr="00FB2D48">
        <w:trPr>
          <w:trHeight w:val="306"/>
        </w:trPr>
        <w:tc>
          <w:tcPr>
            <w:tcW w:w="3430" w:type="dxa"/>
          </w:tcPr>
          <w:p w14:paraId="4C471B88"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 xml:space="preserve">Birkbeck focus </w:t>
            </w:r>
            <w:proofErr w:type="gramStart"/>
            <w:r w:rsidRPr="0033450D">
              <w:rPr>
                <w:rFonts w:ascii="Aptos" w:hAnsi="Aptos" w:cs="Segoe UI"/>
                <w:b/>
                <w:bCs/>
                <w:sz w:val="22"/>
                <w:szCs w:val="22"/>
              </w:rPr>
              <w:t>in</w:t>
            </w:r>
            <w:proofErr w:type="gramEnd"/>
            <w:r w:rsidRPr="0033450D">
              <w:rPr>
                <w:rFonts w:ascii="Aptos" w:hAnsi="Aptos" w:cs="Segoe UI"/>
                <w:b/>
                <w:bCs/>
                <w:sz w:val="22"/>
                <w:szCs w:val="22"/>
              </w:rPr>
              <w:t xml:space="preserve"> the Stage 2 process</w:t>
            </w:r>
          </w:p>
        </w:tc>
        <w:tc>
          <w:tcPr>
            <w:tcW w:w="6406" w:type="dxa"/>
          </w:tcPr>
          <w:p w14:paraId="4F7F88B8" w14:textId="78C40573" w:rsidR="0A615D2F" w:rsidRPr="0033450D" w:rsidRDefault="0A615D2F" w:rsidP="0A615D2F">
            <w:pPr>
              <w:rPr>
                <w:rFonts w:ascii="Aptos" w:hAnsi="Aptos" w:cs="Segoe UI"/>
                <w:sz w:val="22"/>
                <w:szCs w:val="22"/>
              </w:rPr>
            </w:pPr>
            <w:r w:rsidRPr="0033450D">
              <w:rPr>
                <w:rFonts w:ascii="Aptos" w:hAnsi="Aptos" w:cs="Segoe UI"/>
                <w:sz w:val="22"/>
                <w:szCs w:val="22"/>
              </w:rPr>
              <w:t>All aspects of the programme design, delivery, support, assessment, resources, staff</w:t>
            </w:r>
          </w:p>
        </w:tc>
      </w:tr>
      <w:tr w:rsidR="0A615D2F" w:rsidRPr="007B71A7" w14:paraId="33714E64" w14:textId="77777777" w:rsidTr="00FB2D48">
        <w:trPr>
          <w:trHeight w:val="306"/>
        </w:trPr>
        <w:tc>
          <w:tcPr>
            <w:tcW w:w="3430" w:type="dxa"/>
          </w:tcPr>
          <w:p w14:paraId="36A8F1AB"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Student data and statutory returns</w:t>
            </w:r>
          </w:p>
        </w:tc>
        <w:tc>
          <w:tcPr>
            <w:tcW w:w="6406" w:type="dxa"/>
          </w:tcPr>
          <w:p w14:paraId="32D41708" w14:textId="2CD63054" w:rsidR="0A615D2F" w:rsidRPr="0033450D" w:rsidRDefault="0A615D2F" w:rsidP="0A615D2F">
            <w:pPr>
              <w:rPr>
                <w:rFonts w:ascii="Aptos" w:hAnsi="Aptos" w:cs="Segoe UI"/>
                <w:sz w:val="22"/>
                <w:szCs w:val="22"/>
              </w:rPr>
            </w:pPr>
            <w:r w:rsidRPr="0033450D">
              <w:rPr>
                <w:rFonts w:ascii="Aptos" w:hAnsi="Aptos" w:cs="Segoe UI"/>
                <w:sz w:val="22"/>
                <w:szCs w:val="22"/>
              </w:rPr>
              <w:t>Partner</w:t>
            </w:r>
          </w:p>
        </w:tc>
      </w:tr>
      <w:tr w:rsidR="0A615D2F" w:rsidRPr="007B71A7" w14:paraId="38612E61" w14:textId="77777777" w:rsidTr="00FB2D48">
        <w:trPr>
          <w:trHeight w:val="306"/>
        </w:trPr>
        <w:tc>
          <w:tcPr>
            <w:tcW w:w="3430" w:type="dxa"/>
          </w:tcPr>
          <w:p w14:paraId="5E48DF7F" w14:textId="4094403B" w:rsidR="0A615D2F" w:rsidRPr="0033450D" w:rsidRDefault="0A615D2F" w:rsidP="0A615D2F">
            <w:pPr>
              <w:rPr>
                <w:rFonts w:ascii="Aptos" w:hAnsi="Aptos" w:cs="Segoe UI"/>
                <w:b/>
                <w:bCs/>
                <w:sz w:val="22"/>
                <w:szCs w:val="22"/>
              </w:rPr>
            </w:pPr>
            <w:r w:rsidRPr="0033450D">
              <w:rPr>
                <w:rFonts w:ascii="Aptos" w:hAnsi="Aptos" w:cs="Segoe UI"/>
                <w:b/>
                <w:bCs/>
                <w:sz w:val="22"/>
                <w:szCs w:val="22"/>
              </w:rPr>
              <w:t>Monitoring</w:t>
            </w:r>
          </w:p>
        </w:tc>
        <w:tc>
          <w:tcPr>
            <w:tcW w:w="6406" w:type="dxa"/>
          </w:tcPr>
          <w:p w14:paraId="005D37AD" w14:textId="33A732BD" w:rsidR="0A615D2F" w:rsidRPr="0033450D" w:rsidRDefault="0A615D2F" w:rsidP="0A615D2F">
            <w:pPr>
              <w:rPr>
                <w:rFonts w:ascii="Aptos" w:hAnsi="Aptos" w:cs="Segoe UI"/>
                <w:sz w:val="22"/>
                <w:szCs w:val="22"/>
              </w:rPr>
            </w:pPr>
            <w:r w:rsidRPr="0033450D">
              <w:rPr>
                <w:rFonts w:ascii="Aptos" w:hAnsi="Aptos" w:cs="Segoe UI"/>
                <w:sz w:val="22"/>
                <w:szCs w:val="22"/>
              </w:rPr>
              <w:t xml:space="preserve">Annual review in line with on-campus provision to ensure </w:t>
            </w:r>
            <w:proofErr w:type="spellStart"/>
            <w:r w:rsidRPr="0033450D">
              <w:rPr>
                <w:rFonts w:ascii="Aptos" w:hAnsi="Aptos" w:cs="Segoe UI"/>
                <w:sz w:val="22"/>
                <w:szCs w:val="22"/>
              </w:rPr>
              <w:t>OfS</w:t>
            </w:r>
            <w:proofErr w:type="spellEnd"/>
            <w:r w:rsidRPr="0033450D">
              <w:rPr>
                <w:rFonts w:ascii="Aptos" w:hAnsi="Aptos" w:cs="Segoe UI"/>
                <w:sz w:val="22"/>
                <w:szCs w:val="22"/>
              </w:rPr>
              <w:t xml:space="preserve"> B metrics, and sustainability of appropriate facilities</w:t>
            </w:r>
          </w:p>
        </w:tc>
      </w:tr>
      <w:tr w:rsidR="0A615D2F" w:rsidRPr="007B71A7" w14:paraId="1F451D46" w14:textId="77777777" w:rsidTr="00FB2D48">
        <w:trPr>
          <w:trHeight w:val="306"/>
        </w:trPr>
        <w:tc>
          <w:tcPr>
            <w:tcW w:w="3430" w:type="dxa"/>
          </w:tcPr>
          <w:p w14:paraId="4C2E6C21"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Overall risk level</w:t>
            </w:r>
          </w:p>
        </w:tc>
        <w:tc>
          <w:tcPr>
            <w:tcW w:w="6406" w:type="dxa"/>
          </w:tcPr>
          <w:p w14:paraId="4E9BBAC1" w14:textId="5640DCD4" w:rsidR="0A615D2F" w:rsidRPr="0033450D" w:rsidRDefault="0A615D2F" w:rsidP="0A615D2F">
            <w:pPr>
              <w:rPr>
                <w:rFonts w:ascii="Aptos" w:hAnsi="Aptos" w:cs="Segoe UI"/>
                <w:sz w:val="22"/>
                <w:szCs w:val="22"/>
              </w:rPr>
            </w:pPr>
            <w:r w:rsidRPr="0033450D">
              <w:rPr>
                <w:rFonts w:ascii="Aptos" w:hAnsi="Aptos" w:cs="Segoe UI"/>
                <w:sz w:val="22"/>
                <w:szCs w:val="22"/>
              </w:rPr>
              <w:t>Very High</w:t>
            </w:r>
          </w:p>
        </w:tc>
      </w:tr>
    </w:tbl>
    <w:p w14:paraId="06241A7C" w14:textId="694E083F" w:rsidR="0A615D2F" w:rsidRPr="0033450D" w:rsidRDefault="0A615D2F" w:rsidP="0A615D2F">
      <w:pPr>
        <w:rPr>
          <w:rFonts w:ascii="Aptos" w:hAnsi="Aptos" w:cs="Segoe UI"/>
          <w:b/>
          <w:bCs/>
          <w:sz w:val="22"/>
          <w:szCs w:val="22"/>
        </w:rPr>
      </w:pPr>
    </w:p>
    <w:p w14:paraId="68690DA1" w14:textId="190BACF0" w:rsidR="56E51741" w:rsidRDefault="56E51741">
      <w:r>
        <w:br w:type="page"/>
      </w:r>
    </w:p>
    <w:p w14:paraId="3A6DDDEB" w14:textId="77777777" w:rsidR="00160001" w:rsidRPr="00306EA7" w:rsidRDefault="00160001" w:rsidP="001545CB">
      <w:pPr>
        <w:pStyle w:val="Heading3"/>
      </w:pPr>
      <w:bookmarkStart w:id="4" w:name="_Toc233884395"/>
      <w:r w:rsidRPr="00306EA7">
        <w:lastRenderedPageBreak/>
        <w:t>Validation with double certification</w:t>
      </w:r>
      <w:bookmarkEnd w:id="4"/>
    </w:p>
    <w:p w14:paraId="25E94769" w14:textId="77777777" w:rsidR="00306EA7" w:rsidRDefault="00306EA7" w:rsidP="00160001">
      <w:pPr>
        <w:spacing w:before="81"/>
        <w:ind w:right="-20"/>
        <w:rPr>
          <w:rFonts w:ascii="Aptos" w:hAnsi="Aptos" w:cs="Segoe UI"/>
          <w:sz w:val="22"/>
          <w:szCs w:val="22"/>
        </w:rPr>
      </w:pPr>
    </w:p>
    <w:p w14:paraId="23E74994" w14:textId="110FCAF1" w:rsidR="00160001" w:rsidRDefault="00160001" w:rsidP="00160001">
      <w:pPr>
        <w:spacing w:before="81"/>
        <w:ind w:right="-20"/>
        <w:rPr>
          <w:rFonts w:ascii="Aptos" w:hAnsi="Aptos" w:cs="Segoe UI"/>
          <w:sz w:val="22"/>
          <w:szCs w:val="22"/>
        </w:rPr>
      </w:pPr>
      <w:r w:rsidRPr="56E51741">
        <w:rPr>
          <w:rFonts w:ascii="Aptos" w:hAnsi="Aptos" w:cs="Segoe UI"/>
          <w:sz w:val="22"/>
          <w:szCs w:val="22"/>
        </w:rPr>
        <w:t>In exceptional TNE circumstances, both Birkbeck and a partner organisation provides individual awards for a programme that is jointly designed and developed but delivered only by a partner organisation. The programme of study follows the standard volume of credit for the proposed award. Where approved, the College awards Birkbeck and not University of London degrees.</w:t>
      </w:r>
    </w:p>
    <w:p w14:paraId="7AFE77FF" w14:textId="77777777" w:rsidR="00160001" w:rsidRDefault="00160001" w:rsidP="00160001">
      <w:pPr>
        <w:spacing w:before="81"/>
        <w:ind w:left="20" w:right="-20" w:hanging="44"/>
        <w:rPr>
          <w:rFonts w:ascii="Aptos" w:hAnsi="Aptos" w:cs="Segoe UI"/>
          <w:sz w:val="22"/>
          <w:szCs w:val="22"/>
        </w:rPr>
      </w:pPr>
    </w:p>
    <w:tbl>
      <w:tblPr>
        <w:tblStyle w:val="TableGrid"/>
        <w:tblW w:w="0" w:type="auto"/>
        <w:tblLook w:val="04A0" w:firstRow="1" w:lastRow="0" w:firstColumn="1" w:lastColumn="0" w:noHBand="0" w:noVBand="1"/>
      </w:tblPr>
      <w:tblGrid>
        <w:gridCol w:w="3415"/>
        <w:gridCol w:w="6377"/>
      </w:tblGrid>
      <w:tr w:rsidR="00160001" w14:paraId="2D1685A9" w14:textId="77777777" w:rsidTr="00FB2D48">
        <w:trPr>
          <w:trHeight w:val="310"/>
        </w:trPr>
        <w:tc>
          <w:tcPr>
            <w:tcW w:w="3415" w:type="dxa"/>
          </w:tcPr>
          <w:p w14:paraId="0F4E6B8C" w14:textId="77777777" w:rsidR="00160001" w:rsidRDefault="00160001" w:rsidP="00240F9C">
            <w:pPr>
              <w:rPr>
                <w:rFonts w:ascii="Aptos" w:hAnsi="Aptos" w:cs="Segoe UI"/>
                <w:b/>
                <w:bCs/>
                <w:sz w:val="22"/>
                <w:szCs w:val="22"/>
              </w:rPr>
            </w:pPr>
            <w:r w:rsidRPr="56E51741">
              <w:rPr>
                <w:rFonts w:ascii="Aptos" w:hAnsi="Aptos" w:cs="Segoe UI"/>
                <w:b/>
                <w:bCs/>
                <w:sz w:val="22"/>
                <w:szCs w:val="22"/>
              </w:rPr>
              <w:t>Responsibility</w:t>
            </w:r>
          </w:p>
          <w:p w14:paraId="4E80A1B7" w14:textId="77777777" w:rsidR="00160001" w:rsidRDefault="00160001" w:rsidP="00240F9C">
            <w:pPr>
              <w:rPr>
                <w:rFonts w:ascii="Aptos" w:hAnsi="Aptos" w:cs="Segoe UI"/>
                <w:sz w:val="22"/>
                <w:szCs w:val="22"/>
              </w:rPr>
            </w:pPr>
          </w:p>
        </w:tc>
        <w:tc>
          <w:tcPr>
            <w:tcW w:w="6377" w:type="dxa"/>
          </w:tcPr>
          <w:p w14:paraId="37C8CABD" w14:textId="77777777" w:rsidR="00160001" w:rsidRDefault="00160001" w:rsidP="00240F9C">
            <w:pPr>
              <w:rPr>
                <w:rFonts w:ascii="Aptos" w:hAnsi="Aptos" w:cs="Segoe UI"/>
                <w:b/>
                <w:bCs/>
                <w:sz w:val="22"/>
                <w:szCs w:val="22"/>
              </w:rPr>
            </w:pPr>
            <w:r w:rsidRPr="56E51741">
              <w:rPr>
                <w:rFonts w:ascii="Aptos" w:hAnsi="Aptos" w:cs="Segoe UI"/>
                <w:b/>
                <w:bCs/>
                <w:sz w:val="22"/>
                <w:szCs w:val="22"/>
              </w:rPr>
              <w:t>Approach</w:t>
            </w:r>
          </w:p>
        </w:tc>
      </w:tr>
      <w:tr w:rsidR="00160001" w14:paraId="45450C2C" w14:textId="77777777" w:rsidTr="00FB2D48">
        <w:trPr>
          <w:trHeight w:val="310"/>
        </w:trPr>
        <w:tc>
          <w:tcPr>
            <w:tcW w:w="3415" w:type="dxa"/>
          </w:tcPr>
          <w:p w14:paraId="5412656E" w14:textId="77777777" w:rsidR="00160001" w:rsidRDefault="00160001" w:rsidP="00240F9C">
            <w:pPr>
              <w:rPr>
                <w:rFonts w:ascii="Aptos" w:hAnsi="Aptos" w:cs="Segoe UI"/>
                <w:sz w:val="22"/>
                <w:szCs w:val="22"/>
              </w:rPr>
            </w:pPr>
            <w:r w:rsidRPr="56E51741">
              <w:rPr>
                <w:rFonts w:ascii="Aptos" w:hAnsi="Aptos" w:cs="Segoe UI"/>
                <w:b/>
                <w:bCs/>
                <w:sz w:val="22"/>
                <w:szCs w:val="22"/>
              </w:rPr>
              <w:t>Programme Intellectual Property</w:t>
            </w:r>
          </w:p>
        </w:tc>
        <w:tc>
          <w:tcPr>
            <w:tcW w:w="6377" w:type="dxa"/>
          </w:tcPr>
          <w:p w14:paraId="60CA2046" w14:textId="77777777" w:rsidR="00160001" w:rsidRDefault="00160001" w:rsidP="00240F9C">
            <w:pPr>
              <w:spacing w:line="259" w:lineRule="auto"/>
              <w:rPr>
                <w:rFonts w:ascii="Aptos" w:hAnsi="Aptos" w:cs="Segoe UI"/>
                <w:b/>
                <w:bCs/>
                <w:sz w:val="22"/>
                <w:szCs w:val="22"/>
              </w:rPr>
            </w:pPr>
            <w:r w:rsidRPr="56E51741">
              <w:rPr>
                <w:rFonts w:ascii="Aptos" w:hAnsi="Aptos" w:cs="Segoe UI"/>
                <w:sz w:val="22"/>
                <w:szCs w:val="22"/>
              </w:rPr>
              <w:t>Birkbeck and Partner</w:t>
            </w:r>
          </w:p>
        </w:tc>
      </w:tr>
      <w:tr w:rsidR="00160001" w14:paraId="33BE6085" w14:textId="77777777" w:rsidTr="00FB2D48">
        <w:trPr>
          <w:trHeight w:val="310"/>
        </w:trPr>
        <w:tc>
          <w:tcPr>
            <w:tcW w:w="3415" w:type="dxa"/>
          </w:tcPr>
          <w:p w14:paraId="04F0DFA9" w14:textId="77777777" w:rsidR="00160001" w:rsidRDefault="00160001" w:rsidP="00240F9C">
            <w:pPr>
              <w:rPr>
                <w:rFonts w:ascii="Aptos" w:hAnsi="Aptos" w:cs="Segoe UI"/>
                <w:sz w:val="22"/>
                <w:szCs w:val="22"/>
              </w:rPr>
            </w:pPr>
            <w:r w:rsidRPr="56E51741">
              <w:rPr>
                <w:rFonts w:ascii="Aptos" w:hAnsi="Aptos" w:cs="Segoe UI"/>
                <w:b/>
                <w:bCs/>
                <w:sz w:val="22"/>
                <w:szCs w:val="22"/>
              </w:rPr>
              <w:t>Programme Delivery and Assessment</w:t>
            </w:r>
          </w:p>
        </w:tc>
        <w:tc>
          <w:tcPr>
            <w:tcW w:w="6377" w:type="dxa"/>
          </w:tcPr>
          <w:p w14:paraId="27C10A8C" w14:textId="77777777" w:rsidR="00160001" w:rsidRDefault="00160001" w:rsidP="00240F9C">
            <w:pPr>
              <w:rPr>
                <w:rFonts w:ascii="Aptos" w:hAnsi="Aptos" w:cs="Segoe UI"/>
                <w:sz w:val="22"/>
                <w:szCs w:val="22"/>
              </w:rPr>
            </w:pPr>
            <w:r w:rsidRPr="56E51741">
              <w:rPr>
                <w:rFonts w:ascii="Aptos" w:hAnsi="Aptos" w:cs="Segoe UI"/>
                <w:sz w:val="22"/>
                <w:szCs w:val="22"/>
              </w:rPr>
              <w:t xml:space="preserve">Partner </w:t>
            </w:r>
          </w:p>
        </w:tc>
      </w:tr>
      <w:tr w:rsidR="00160001" w14:paraId="0EEDA915" w14:textId="77777777" w:rsidTr="00FB2D48">
        <w:trPr>
          <w:trHeight w:val="310"/>
        </w:trPr>
        <w:tc>
          <w:tcPr>
            <w:tcW w:w="3415" w:type="dxa"/>
          </w:tcPr>
          <w:p w14:paraId="2989A8FB" w14:textId="77777777" w:rsidR="00160001" w:rsidRDefault="00160001" w:rsidP="00240F9C">
            <w:pPr>
              <w:rPr>
                <w:rFonts w:ascii="Aptos" w:hAnsi="Aptos" w:cs="Segoe UI"/>
                <w:sz w:val="22"/>
                <w:szCs w:val="22"/>
              </w:rPr>
            </w:pPr>
            <w:r w:rsidRPr="56E51741">
              <w:rPr>
                <w:rFonts w:ascii="Aptos" w:hAnsi="Aptos" w:cs="Segoe UI"/>
                <w:b/>
                <w:bCs/>
                <w:sz w:val="22"/>
                <w:szCs w:val="22"/>
              </w:rPr>
              <w:t>Award</w:t>
            </w:r>
          </w:p>
        </w:tc>
        <w:tc>
          <w:tcPr>
            <w:tcW w:w="6377" w:type="dxa"/>
          </w:tcPr>
          <w:p w14:paraId="212476C8" w14:textId="77777777" w:rsidR="00160001" w:rsidRDefault="00160001" w:rsidP="00240F9C">
            <w:pPr>
              <w:rPr>
                <w:rFonts w:ascii="Aptos" w:hAnsi="Aptos" w:cs="Segoe UI"/>
                <w:sz w:val="22"/>
                <w:szCs w:val="22"/>
              </w:rPr>
            </w:pPr>
            <w:r w:rsidRPr="56E51741">
              <w:rPr>
                <w:rFonts w:ascii="Aptos" w:hAnsi="Aptos" w:cs="Segoe UI"/>
                <w:sz w:val="22"/>
                <w:szCs w:val="22"/>
              </w:rPr>
              <w:t>Birkbeck and Partner (individual certificates)</w:t>
            </w:r>
          </w:p>
        </w:tc>
      </w:tr>
      <w:tr w:rsidR="00160001" w14:paraId="78DEE201" w14:textId="77777777" w:rsidTr="00FB2D48">
        <w:trPr>
          <w:trHeight w:val="310"/>
        </w:trPr>
        <w:tc>
          <w:tcPr>
            <w:tcW w:w="3415" w:type="dxa"/>
          </w:tcPr>
          <w:p w14:paraId="4E7C369C" w14:textId="77777777" w:rsidR="00160001" w:rsidRDefault="00160001" w:rsidP="00240F9C">
            <w:pPr>
              <w:rPr>
                <w:rFonts w:ascii="Aptos" w:hAnsi="Aptos" w:cs="Segoe UI"/>
                <w:sz w:val="22"/>
                <w:szCs w:val="22"/>
              </w:rPr>
            </w:pPr>
            <w:r w:rsidRPr="56E51741">
              <w:rPr>
                <w:rFonts w:ascii="Aptos" w:hAnsi="Aptos" w:cs="Segoe UI"/>
                <w:b/>
                <w:bCs/>
                <w:sz w:val="22"/>
                <w:szCs w:val="22"/>
              </w:rPr>
              <w:t>Academic regulations and policies</w:t>
            </w:r>
          </w:p>
        </w:tc>
        <w:tc>
          <w:tcPr>
            <w:tcW w:w="6377" w:type="dxa"/>
          </w:tcPr>
          <w:p w14:paraId="0E47F06B" w14:textId="77777777" w:rsidR="00160001" w:rsidRDefault="00160001" w:rsidP="00240F9C">
            <w:pPr>
              <w:rPr>
                <w:rFonts w:ascii="Aptos" w:hAnsi="Aptos" w:cs="Segoe UI"/>
                <w:sz w:val="22"/>
                <w:szCs w:val="22"/>
              </w:rPr>
            </w:pPr>
            <w:r w:rsidRPr="56E51741">
              <w:rPr>
                <w:rFonts w:ascii="Aptos" w:hAnsi="Aptos" w:cs="Segoe UI"/>
                <w:sz w:val="22"/>
                <w:szCs w:val="22"/>
              </w:rPr>
              <w:t>Birkbeck and Partner</w:t>
            </w:r>
          </w:p>
        </w:tc>
      </w:tr>
      <w:tr w:rsidR="00160001" w14:paraId="0D65255C" w14:textId="77777777" w:rsidTr="00FB2D48">
        <w:trPr>
          <w:trHeight w:val="310"/>
        </w:trPr>
        <w:tc>
          <w:tcPr>
            <w:tcW w:w="3415" w:type="dxa"/>
          </w:tcPr>
          <w:p w14:paraId="199135DA" w14:textId="77777777" w:rsidR="00160001" w:rsidRDefault="00160001" w:rsidP="00240F9C">
            <w:pPr>
              <w:rPr>
                <w:rFonts w:ascii="Aptos" w:hAnsi="Aptos" w:cs="Segoe UI"/>
                <w:b/>
                <w:bCs/>
                <w:sz w:val="22"/>
                <w:szCs w:val="22"/>
              </w:rPr>
            </w:pPr>
            <w:r w:rsidRPr="56E51741">
              <w:rPr>
                <w:rFonts w:ascii="Aptos" w:hAnsi="Aptos" w:cs="Segoe UI"/>
                <w:b/>
                <w:bCs/>
                <w:sz w:val="22"/>
                <w:szCs w:val="22"/>
              </w:rPr>
              <w:t>Student contractual relationship</w:t>
            </w:r>
          </w:p>
        </w:tc>
        <w:tc>
          <w:tcPr>
            <w:tcW w:w="6377" w:type="dxa"/>
          </w:tcPr>
          <w:p w14:paraId="72CBBED7" w14:textId="77777777" w:rsidR="00160001" w:rsidRDefault="00160001" w:rsidP="00240F9C">
            <w:pPr>
              <w:rPr>
                <w:rFonts w:ascii="Aptos" w:hAnsi="Aptos" w:cs="Segoe UI"/>
                <w:sz w:val="22"/>
                <w:szCs w:val="22"/>
              </w:rPr>
            </w:pPr>
            <w:r w:rsidRPr="56E51741">
              <w:rPr>
                <w:rFonts w:ascii="Aptos" w:hAnsi="Aptos" w:cs="Segoe UI"/>
                <w:sz w:val="22"/>
                <w:szCs w:val="22"/>
              </w:rPr>
              <w:t>Partner</w:t>
            </w:r>
          </w:p>
        </w:tc>
      </w:tr>
      <w:tr w:rsidR="00160001" w14:paraId="533AAB8D" w14:textId="77777777" w:rsidTr="00FB2D48">
        <w:trPr>
          <w:trHeight w:val="310"/>
        </w:trPr>
        <w:tc>
          <w:tcPr>
            <w:tcW w:w="3415" w:type="dxa"/>
          </w:tcPr>
          <w:p w14:paraId="7C56F995" w14:textId="77777777" w:rsidR="00160001" w:rsidRDefault="00160001" w:rsidP="00240F9C">
            <w:pPr>
              <w:rPr>
                <w:rFonts w:ascii="Aptos" w:hAnsi="Aptos" w:cs="Segoe UI"/>
                <w:sz w:val="22"/>
                <w:szCs w:val="22"/>
              </w:rPr>
            </w:pPr>
            <w:r w:rsidRPr="56E51741">
              <w:rPr>
                <w:rFonts w:ascii="Aptos" w:hAnsi="Aptos" w:cs="Segoe UI"/>
                <w:b/>
                <w:bCs/>
                <w:sz w:val="22"/>
                <w:szCs w:val="22"/>
              </w:rPr>
              <w:t>Student Protection Plan</w:t>
            </w:r>
          </w:p>
        </w:tc>
        <w:tc>
          <w:tcPr>
            <w:tcW w:w="6377" w:type="dxa"/>
          </w:tcPr>
          <w:p w14:paraId="2FB1CE0E" w14:textId="77777777" w:rsidR="00160001" w:rsidRDefault="00160001" w:rsidP="00240F9C">
            <w:pPr>
              <w:rPr>
                <w:rFonts w:ascii="Aptos" w:hAnsi="Aptos" w:cs="Segoe UI"/>
                <w:sz w:val="22"/>
                <w:szCs w:val="22"/>
              </w:rPr>
            </w:pPr>
            <w:r w:rsidRPr="56E51741">
              <w:rPr>
                <w:rFonts w:ascii="Aptos" w:hAnsi="Aptos" w:cs="Segoe UI"/>
                <w:sz w:val="22"/>
                <w:szCs w:val="22"/>
              </w:rPr>
              <w:t xml:space="preserve">Partner </w:t>
            </w:r>
          </w:p>
        </w:tc>
      </w:tr>
      <w:tr w:rsidR="00160001" w14:paraId="0DC880BF" w14:textId="77777777" w:rsidTr="00FB2D48">
        <w:trPr>
          <w:trHeight w:val="310"/>
        </w:trPr>
        <w:tc>
          <w:tcPr>
            <w:tcW w:w="3415" w:type="dxa"/>
          </w:tcPr>
          <w:p w14:paraId="0CD43078" w14:textId="77777777" w:rsidR="00160001" w:rsidRDefault="00160001" w:rsidP="00240F9C">
            <w:pPr>
              <w:rPr>
                <w:rFonts w:ascii="Aptos" w:hAnsi="Aptos" w:cs="Segoe UI"/>
                <w:sz w:val="22"/>
                <w:szCs w:val="22"/>
              </w:rPr>
            </w:pPr>
            <w:r w:rsidRPr="56E51741">
              <w:rPr>
                <w:rFonts w:ascii="Aptos" w:hAnsi="Aptos" w:cs="Segoe UI"/>
                <w:b/>
                <w:bCs/>
                <w:sz w:val="22"/>
                <w:szCs w:val="22"/>
              </w:rPr>
              <w:t>Birkbeck approval process</w:t>
            </w:r>
          </w:p>
        </w:tc>
        <w:tc>
          <w:tcPr>
            <w:tcW w:w="6377" w:type="dxa"/>
          </w:tcPr>
          <w:p w14:paraId="435422D1" w14:textId="77777777" w:rsidR="00160001" w:rsidRDefault="00160001" w:rsidP="00240F9C">
            <w:pPr>
              <w:rPr>
                <w:rFonts w:ascii="Aptos" w:hAnsi="Aptos" w:cs="Segoe UI"/>
                <w:sz w:val="22"/>
                <w:szCs w:val="22"/>
              </w:rPr>
            </w:pPr>
            <w:r w:rsidRPr="56E51741">
              <w:rPr>
                <w:rFonts w:ascii="Aptos" w:hAnsi="Aptos" w:cs="Segoe UI"/>
                <w:sz w:val="22"/>
                <w:szCs w:val="22"/>
              </w:rPr>
              <w:t>Stages 0-3 apply</w:t>
            </w:r>
          </w:p>
        </w:tc>
      </w:tr>
      <w:tr w:rsidR="00160001" w14:paraId="572BFAD8" w14:textId="77777777" w:rsidTr="00FB2D48">
        <w:trPr>
          <w:trHeight w:val="310"/>
        </w:trPr>
        <w:tc>
          <w:tcPr>
            <w:tcW w:w="3415" w:type="dxa"/>
          </w:tcPr>
          <w:p w14:paraId="5FFFEA8A" w14:textId="77777777" w:rsidR="00160001" w:rsidRDefault="00160001" w:rsidP="00240F9C">
            <w:pPr>
              <w:rPr>
                <w:rFonts w:ascii="Aptos" w:hAnsi="Aptos" w:cs="Segoe UI"/>
                <w:sz w:val="22"/>
                <w:szCs w:val="22"/>
              </w:rPr>
            </w:pPr>
            <w:r w:rsidRPr="56E51741">
              <w:rPr>
                <w:rFonts w:ascii="Aptos" w:hAnsi="Aptos" w:cs="Segoe UI"/>
                <w:b/>
                <w:bCs/>
                <w:sz w:val="22"/>
                <w:szCs w:val="22"/>
              </w:rPr>
              <w:t xml:space="preserve">Birkbeck focus </w:t>
            </w:r>
            <w:proofErr w:type="gramStart"/>
            <w:r w:rsidRPr="56E51741">
              <w:rPr>
                <w:rFonts w:ascii="Aptos" w:hAnsi="Aptos" w:cs="Segoe UI"/>
                <w:b/>
                <w:bCs/>
                <w:sz w:val="22"/>
                <w:szCs w:val="22"/>
              </w:rPr>
              <w:t>in</w:t>
            </w:r>
            <w:proofErr w:type="gramEnd"/>
            <w:r w:rsidRPr="56E51741">
              <w:rPr>
                <w:rFonts w:ascii="Aptos" w:hAnsi="Aptos" w:cs="Segoe UI"/>
                <w:b/>
                <w:bCs/>
                <w:sz w:val="22"/>
                <w:szCs w:val="22"/>
              </w:rPr>
              <w:t xml:space="preserve"> the Stage 2 process</w:t>
            </w:r>
          </w:p>
        </w:tc>
        <w:tc>
          <w:tcPr>
            <w:tcW w:w="6377" w:type="dxa"/>
          </w:tcPr>
          <w:p w14:paraId="77D59116" w14:textId="77777777" w:rsidR="00160001" w:rsidRDefault="00160001" w:rsidP="00240F9C">
            <w:pPr>
              <w:rPr>
                <w:rFonts w:ascii="Aptos" w:hAnsi="Aptos" w:cs="Segoe UI"/>
                <w:sz w:val="22"/>
                <w:szCs w:val="22"/>
              </w:rPr>
            </w:pPr>
            <w:r w:rsidRPr="56E51741">
              <w:rPr>
                <w:rFonts w:ascii="Aptos" w:hAnsi="Aptos" w:cs="Segoe UI"/>
                <w:sz w:val="22"/>
                <w:szCs w:val="22"/>
              </w:rPr>
              <w:t>All aspects of the programme design, delivery, support, assessment, resources, staff</w:t>
            </w:r>
          </w:p>
        </w:tc>
      </w:tr>
      <w:tr w:rsidR="00160001" w14:paraId="57C377ED" w14:textId="77777777" w:rsidTr="00FB2D48">
        <w:trPr>
          <w:trHeight w:val="310"/>
        </w:trPr>
        <w:tc>
          <w:tcPr>
            <w:tcW w:w="3415" w:type="dxa"/>
          </w:tcPr>
          <w:p w14:paraId="4D430211" w14:textId="77777777" w:rsidR="00160001" w:rsidRDefault="00160001" w:rsidP="00240F9C">
            <w:pPr>
              <w:rPr>
                <w:rFonts w:ascii="Aptos" w:hAnsi="Aptos" w:cs="Segoe UI"/>
                <w:sz w:val="22"/>
                <w:szCs w:val="22"/>
              </w:rPr>
            </w:pPr>
            <w:r w:rsidRPr="56E51741">
              <w:rPr>
                <w:rFonts w:ascii="Aptos" w:hAnsi="Aptos" w:cs="Segoe UI"/>
                <w:b/>
                <w:bCs/>
                <w:sz w:val="22"/>
                <w:szCs w:val="22"/>
              </w:rPr>
              <w:t>Student data and statutory returns</w:t>
            </w:r>
          </w:p>
        </w:tc>
        <w:tc>
          <w:tcPr>
            <w:tcW w:w="6377" w:type="dxa"/>
          </w:tcPr>
          <w:p w14:paraId="1EB31899" w14:textId="77777777" w:rsidR="00160001" w:rsidRDefault="00160001" w:rsidP="00240F9C">
            <w:pPr>
              <w:rPr>
                <w:rFonts w:ascii="Aptos" w:hAnsi="Aptos" w:cs="Segoe UI"/>
                <w:sz w:val="22"/>
                <w:szCs w:val="22"/>
              </w:rPr>
            </w:pPr>
            <w:r w:rsidRPr="56E51741">
              <w:rPr>
                <w:rFonts w:ascii="Aptos" w:hAnsi="Aptos" w:cs="Segoe UI"/>
                <w:sz w:val="22"/>
                <w:szCs w:val="22"/>
              </w:rPr>
              <w:t>Birkbeck and Partner</w:t>
            </w:r>
          </w:p>
        </w:tc>
      </w:tr>
      <w:tr w:rsidR="00160001" w14:paraId="14BFC470" w14:textId="77777777" w:rsidTr="00FB2D48">
        <w:trPr>
          <w:trHeight w:val="310"/>
        </w:trPr>
        <w:tc>
          <w:tcPr>
            <w:tcW w:w="3415" w:type="dxa"/>
          </w:tcPr>
          <w:p w14:paraId="00DCB0D8" w14:textId="77777777" w:rsidR="00160001" w:rsidRDefault="00160001" w:rsidP="00240F9C">
            <w:pPr>
              <w:rPr>
                <w:rFonts w:ascii="Aptos" w:hAnsi="Aptos" w:cs="Segoe UI"/>
                <w:b/>
                <w:bCs/>
                <w:sz w:val="22"/>
                <w:szCs w:val="22"/>
              </w:rPr>
            </w:pPr>
            <w:r w:rsidRPr="56E51741">
              <w:rPr>
                <w:rFonts w:ascii="Aptos" w:hAnsi="Aptos" w:cs="Segoe UI"/>
                <w:b/>
                <w:bCs/>
                <w:sz w:val="22"/>
                <w:szCs w:val="22"/>
              </w:rPr>
              <w:t>Monitoring</w:t>
            </w:r>
          </w:p>
        </w:tc>
        <w:tc>
          <w:tcPr>
            <w:tcW w:w="6377" w:type="dxa"/>
          </w:tcPr>
          <w:p w14:paraId="2D78F79B" w14:textId="77777777" w:rsidR="00160001" w:rsidRDefault="00160001" w:rsidP="00240F9C">
            <w:pPr>
              <w:rPr>
                <w:rFonts w:ascii="Aptos" w:hAnsi="Aptos" w:cs="Segoe UI"/>
                <w:sz w:val="22"/>
                <w:szCs w:val="22"/>
              </w:rPr>
            </w:pPr>
            <w:r w:rsidRPr="56E51741">
              <w:rPr>
                <w:rFonts w:ascii="Aptos" w:hAnsi="Aptos" w:cs="Segoe UI"/>
                <w:sz w:val="22"/>
                <w:szCs w:val="22"/>
              </w:rPr>
              <w:t xml:space="preserve">Annual review in line with on-campus provision to ensure </w:t>
            </w:r>
            <w:proofErr w:type="spellStart"/>
            <w:r w:rsidRPr="56E51741">
              <w:rPr>
                <w:rFonts w:ascii="Aptos" w:hAnsi="Aptos" w:cs="Segoe UI"/>
                <w:sz w:val="22"/>
                <w:szCs w:val="22"/>
              </w:rPr>
              <w:t>OfS</w:t>
            </w:r>
            <w:proofErr w:type="spellEnd"/>
            <w:r w:rsidRPr="56E51741">
              <w:rPr>
                <w:rFonts w:ascii="Aptos" w:hAnsi="Aptos" w:cs="Segoe UI"/>
                <w:sz w:val="22"/>
                <w:szCs w:val="22"/>
              </w:rPr>
              <w:t xml:space="preserve"> B metrics, and sustainability of appropriate facilities</w:t>
            </w:r>
          </w:p>
        </w:tc>
      </w:tr>
      <w:tr w:rsidR="00160001" w14:paraId="63ABA890" w14:textId="77777777" w:rsidTr="00FB2D48">
        <w:trPr>
          <w:trHeight w:val="310"/>
        </w:trPr>
        <w:tc>
          <w:tcPr>
            <w:tcW w:w="3415" w:type="dxa"/>
          </w:tcPr>
          <w:p w14:paraId="1BDFB479" w14:textId="77777777" w:rsidR="00160001" w:rsidRDefault="00160001" w:rsidP="00240F9C">
            <w:pPr>
              <w:rPr>
                <w:rFonts w:ascii="Aptos" w:hAnsi="Aptos" w:cs="Segoe UI"/>
                <w:sz w:val="22"/>
                <w:szCs w:val="22"/>
              </w:rPr>
            </w:pPr>
            <w:r w:rsidRPr="56E51741">
              <w:rPr>
                <w:rFonts w:ascii="Aptos" w:hAnsi="Aptos" w:cs="Segoe UI"/>
                <w:b/>
                <w:bCs/>
                <w:sz w:val="22"/>
                <w:szCs w:val="22"/>
              </w:rPr>
              <w:t>Overall risk level</w:t>
            </w:r>
          </w:p>
        </w:tc>
        <w:tc>
          <w:tcPr>
            <w:tcW w:w="6377" w:type="dxa"/>
          </w:tcPr>
          <w:p w14:paraId="701B557E" w14:textId="77777777" w:rsidR="00160001" w:rsidRDefault="00160001" w:rsidP="00240F9C">
            <w:pPr>
              <w:rPr>
                <w:rFonts w:ascii="Aptos" w:hAnsi="Aptos" w:cs="Segoe UI"/>
                <w:sz w:val="22"/>
                <w:szCs w:val="22"/>
              </w:rPr>
            </w:pPr>
            <w:r w:rsidRPr="56E51741">
              <w:rPr>
                <w:rFonts w:ascii="Aptos" w:hAnsi="Aptos" w:cs="Segoe UI"/>
                <w:sz w:val="22"/>
                <w:szCs w:val="22"/>
              </w:rPr>
              <w:t>Very High</w:t>
            </w:r>
          </w:p>
        </w:tc>
      </w:tr>
    </w:tbl>
    <w:p w14:paraId="4B6E8031" w14:textId="77777777" w:rsidR="00160001" w:rsidRDefault="00160001" w:rsidP="00160001">
      <w:pPr>
        <w:rPr>
          <w:rFonts w:ascii="Aptos" w:hAnsi="Aptos" w:cs="Segoe UI"/>
          <w:b/>
          <w:bCs/>
          <w:sz w:val="22"/>
          <w:szCs w:val="22"/>
        </w:rPr>
      </w:pPr>
    </w:p>
    <w:p w14:paraId="0A1C553D" w14:textId="2177301A" w:rsidR="00CF4897" w:rsidRPr="00160001" w:rsidRDefault="00160001" w:rsidP="0033450D">
      <w:pPr>
        <w:pStyle w:val="ListParagraph"/>
        <w:numPr>
          <w:ilvl w:val="0"/>
          <w:numId w:val="1"/>
        </w:numPr>
        <w:rPr>
          <w:rFonts w:ascii="Aptos" w:hAnsi="Aptos" w:cs="Segoe UI"/>
          <w:b/>
          <w:bCs/>
          <w:sz w:val="22"/>
          <w:szCs w:val="22"/>
        </w:rPr>
      </w:pPr>
      <w:r w:rsidRPr="0033450D">
        <w:rPr>
          <w:rFonts w:ascii="Aptos" w:hAnsi="Aptos" w:cs="Segoe UI"/>
          <w:b/>
          <w:bCs/>
          <w:sz w:val="22"/>
          <w:szCs w:val="22"/>
        </w:rPr>
        <w:br w:type="page"/>
      </w:r>
    </w:p>
    <w:p w14:paraId="75323F79" w14:textId="2E2CDCB8" w:rsidR="0A615D2F" w:rsidRPr="00306EA7" w:rsidRDefault="0A0F4CBE" w:rsidP="001545CB">
      <w:pPr>
        <w:pStyle w:val="Heading3"/>
      </w:pPr>
      <w:bookmarkStart w:id="5" w:name="_Toc233884396"/>
      <w:r w:rsidRPr="00306EA7">
        <w:lastRenderedPageBreak/>
        <w:t>Joint Degree Award</w:t>
      </w:r>
      <w:bookmarkEnd w:id="5"/>
    </w:p>
    <w:p w14:paraId="5257E598" w14:textId="77777777" w:rsidR="00306EA7" w:rsidRDefault="00306EA7" w:rsidP="0A615D2F">
      <w:pPr>
        <w:ind w:right="32"/>
        <w:rPr>
          <w:rFonts w:ascii="Aptos" w:eastAsia="Arial" w:hAnsi="Aptos" w:cs="Segoe UI"/>
          <w:sz w:val="22"/>
          <w:szCs w:val="22"/>
        </w:rPr>
      </w:pPr>
    </w:p>
    <w:p w14:paraId="2A607925" w14:textId="07E409C8" w:rsidR="0A0F4CBE" w:rsidRPr="0033450D" w:rsidRDefault="0A0F4CBE" w:rsidP="0A615D2F">
      <w:pPr>
        <w:ind w:right="32"/>
        <w:rPr>
          <w:rFonts w:ascii="Aptos" w:eastAsia="Arial" w:hAnsi="Aptos" w:cs="Segoe UI"/>
          <w:i/>
          <w:iCs/>
          <w:sz w:val="22"/>
          <w:szCs w:val="22"/>
        </w:rPr>
      </w:pPr>
      <w:r w:rsidRPr="0033450D">
        <w:rPr>
          <w:rFonts w:ascii="Aptos" w:eastAsia="Arial" w:hAnsi="Aptos" w:cs="Segoe UI"/>
          <w:sz w:val="22"/>
          <w:szCs w:val="22"/>
        </w:rPr>
        <w:t xml:space="preserve">Birkbeck and one or more degree awarding partners are jointly responsible for the development, design, delivery, assessment and management of the programme that leads to one award and </w:t>
      </w:r>
      <w:r w:rsidR="623BD8E3" w:rsidRPr="07FA8F59">
        <w:rPr>
          <w:rFonts w:ascii="Aptos" w:eastAsia="Arial" w:hAnsi="Aptos" w:cs="Segoe UI"/>
          <w:sz w:val="22"/>
          <w:szCs w:val="22"/>
        </w:rPr>
        <w:t xml:space="preserve">a </w:t>
      </w:r>
      <w:r w:rsidRPr="0033450D">
        <w:rPr>
          <w:rFonts w:ascii="Aptos" w:eastAsia="Arial" w:hAnsi="Aptos" w:cs="Segoe UI"/>
          <w:sz w:val="22"/>
          <w:szCs w:val="22"/>
        </w:rPr>
        <w:t xml:space="preserve">single certificate. This is different to a double degree award in which the student receives an award from both partners. </w:t>
      </w:r>
      <w:r w:rsidRPr="0033450D">
        <w:rPr>
          <w:rFonts w:ascii="Aptos" w:eastAsia="Arial" w:hAnsi="Aptos" w:cs="Segoe UI"/>
          <w:i/>
          <w:iCs/>
          <w:sz w:val="22"/>
          <w:szCs w:val="22"/>
        </w:rPr>
        <w:t>This type of collaborative provision is only developed by Birkbeck in exceptional circumstances.</w:t>
      </w:r>
    </w:p>
    <w:p w14:paraId="734F13A5" w14:textId="6B390B7C" w:rsidR="0A615D2F" w:rsidRPr="0033450D" w:rsidRDefault="0A615D2F" w:rsidP="0A615D2F">
      <w:pPr>
        <w:ind w:right="32"/>
        <w:rPr>
          <w:rFonts w:ascii="Aptos" w:eastAsia="Arial" w:hAnsi="Aptos" w:cs="Segoe UI"/>
          <w:sz w:val="22"/>
          <w:szCs w:val="22"/>
        </w:rPr>
      </w:pPr>
    </w:p>
    <w:tbl>
      <w:tblPr>
        <w:tblStyle w:val="TableGrid"/>
        <w:tblW w:w="0" w:type="auto"/>
        <w:tblLook w:val="04A0" w:firstRow="1" w:lastRow="0" w:firstColumn="1" w:lastColumn="0" w:noHBand="0" w:noVBand="1"/>
      </w:tblPr>
      <w:tblGrid>
        <w:gridCol w:w="3092"/>
        <w:gridCol w:w="6723"/>
      </w:tblGrid>
      <w:tr w:rsidR="0A615D2F" w:rsidRPr="007B71A7" w14:paraId="50255F2C" w14:textId="77777777" w:rsidTr="00FB2D48">
        <w:trPr>
          <w:trHeight w:val="304"/>
        </w:trPr>
        <w:tc>
          <w:tcPr>
            <w:tcW w:w="3092" w:type="dxa"/>
          </w:tcPr>
          <w:p w14:paraId="276B47FA" w14:textId="77777777" w:rsidR="0A615D2F" w:rsidRPr="0033450D" w:rsidRDefault="0A615D2F" w:rsidP="0A615D2F">
            <w:pPr>
              <w:rPr>
                <w:rFonts w:ascii="Aptos" w:hAnsi="Aptos" w:cs="Segoe UI"/>
                <w:b/>
                <w:bCs/>
                <w:sz w:val="22"/>
                <w:szCs w:val="22"/>
              </w:rPr>
            </w:pPr>
            <w:r w:rsidRPr="0033450D">
              <w:rPr>
                <w:rFonts w:ascii="Aptos" w:hAnsi="Aptos" w:cs="Segoe UI"/>
                <w:b/>
                <w:bCs/>
                <w:sz w:val="22"/>
                <w:szCs w:val="22"/>
              </w:rPr>
              <w:t>Responsibility</w:t>
            </w:r>
          </w:p>
          <w:p w14:paraId="73DAA896" w14:textId="77777777" w:rsidR="0A615D2F" w:rsidRPr="0033450D" w:rsidRDefault="0A615D2F" w:rsidP="0A615D2F">
            <w:pPr>
              <w:rPr>
                <w:rFonts w:ascii="Aptos" w:hAnsi="Aptos" w:cs="Segoe UI"/>
                <w:sz w:val="22"/>
                <w:szCs w:val="22"/>
              </w:rPr>
            </w:pPr>
          </w:p>
        </w:tc>
        <w:tc>
          <w:tcPr>
            <w:tcW w:w="6723" w:type="dxa"/>
          </w:tcPr>
          <w:p w14:paraId="1E62F692" w14:textId="77777777" w:rsidR="0A615D2F" w:rsidRPr="0033450D" w:rsidRDefault="0A615D2F" w:rsidP="0A615D2F">
            <w:pPr>
              <w:rPr>
                <w:rFonts w:ascii="Aptos" w:hAnsi="Aptos" w:cs="Segoe UI"/>
                <w:b/>
                <w:bCs/>
                <w:sz w:val="22"/>
                <w:szCs w:val="22"/>
              </w:rPr>
            </w:pPr>
            <w:r w:rsidRPr="0033450D">
              <w:rPr>
                <w:rFonts w:ascii="Aptos" w:hAnsi="Aptos" w:cs="Segoe UI"/>
                <w:b/>
                <w:bCs/>
                <w:sz w:val="22"/>
                <w:szCs w:val="22"/>
              </w:rPr>
              <w:t>Approach</w:t>
            </w:r>
          </w:p>
        </w:tc>
      </w:tr>
      <w:tr w:rsidR="0A615D2F" w:rsidRPr="007B71A7" w14:paraId="66380A60" w14:textId="77777777" w:rsidTr="00FB2D48">
        <w:trPr>
          <w:trHeight w:val="304"/>
        </w:trPr>
        <w:tc>
          <w:tcPr>
            <w:tcW w:w="3092" w:type="dxa"/>
          </w:tcPr>
          <w:p w14:paraId="0324B93C"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Programme Intellectual Property</w:t>
            </w:r>
          </w:p>
        </w:tc>
        <w:tc>
          <w:tcPr>
            <w:tcW w:w="6723" w:type="dxa"/>
          </w:tcPr>
          <w:p w14:paraId="44ED75CA" w14:textId="191EF572" w:rsidR="0A615D2F" w:rsidRPr="0033450D" w:rsidRDefault="0A615D2F" w:rsidP="0A615D2F">
            <w:pPr>
              <w:rPr>
                <w:rFonts w:ascii="Aptos" w:hAnsi="Aptos" w:cs="Segoe UI"/>
                <w:sz w:val="22"/>
                <w:szCs w:val="22"/>
              </w:rPr>
            </w:pPr>
            <w:r w:rsidRPr="0033450D">
              <w:rPr>
                <w:rFonts w:ascii="Aptos" w:hAnsi="Aptos" w:cs="Segoe UI"/>
                <w:sz w:val="22"/>
                <w:szCs w:val="22"/>
              </w:rPr>
              <w:t>Programme is designed, delivered, managed and awarded jointly. Therefore, IP is joint.</w:t>
            </w:r>
          </w:p>
        </w:tc>
      </w:tr>
      <w:tr w:rsidR="0A615D2F" w:rsidRPr="007B71A7" w14:paraId="395EA810" w14:textId="77777777" w:rsidTr="00FB2D48">
        <w:trPr>
          <w:trHeight w:val="304"/>
        </w:trPr>
        <w:tc>
          <w:tcPr>
            <w:tcW w:w="3092" w:type="dxa"/>
          </w:tcPr>
          <w:p w14:paraId="29D4966E"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Programme Delivery and Assessment</w:t>
            </w:r>
          </w:p>
        </w:tc>
        <w:tc>
          <w:tcPr>
            <w:tcW w:w="6723" w:type="dxa"/>
          </w:tcPr>
          <w:p w14:paraId="6B3B4F0D" w14:textId="116408D9" w:rsidR="0A615D2F" w:rsidRPr="0033450D" w:rsidRDefault="0A615D2F" w:rsidP="0A615D2F">
            <w:pPr>
              <w:rPr>
                <w:rFonts w:ascii="Aptos" w:hAnsi="Aptos" w:cs="Segoe UI"/>
                <w:sz w:val="22"/>
                <w:szCs w:val="22"/>
              </w:rPr>
            </w:pPr>
            <w:r w:rsidRPr="0033450D">
              <w:rPr>
                <w:rFonts w:ascii="Aptos" w:hAnsi="Aptos" w:cs="Segoe UI"/>
                <w:sz w:val="22"/>
                <w:szCs w:val="22"/>
              </w:rPr>
              <w:t>Jointly between Birkbeck and the partner with partners contributing in broadly equal proportions. A single description of the programme and learning outcomes are agreed by all parties</w:t>
            </w:r>
          </w:p>
        </w:tc>
      </w:tr>
      <w:tr w:rsidR="0A615D2F" w:rsidRPr="007B71A7" w14:paraId="4E908668" w14:textId="77777777" w:rsidTr="00FB2D48">
        <w:trPr>
          <w:trHeight w:val="304"/>
        </w:trPr>
        <w:tc>
          <w:tcPr>
            <w:tcW w:w="3092" w:type="dxa"/>
          </w:tcPr>
          <w:p w14:paraId="6B9C73CA"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Award</w:t>
            </w:r>
          </w:p>
        </w:tc>
        <w:tc>
          <w:tcPr>
            <w:tcW w:w="6723" w:type="dxa"/>
          </w:tcPr>
          <w:p w14:paraId="46A18806" w14:textId="6CD02B2E" w:rsidR="0A615D2F" w:rsidRPr="0033450D" w:rsidRDefault="0A615D2F" w:rsidP="0A615D2F">
            <w:pPr>
              <w:rPr>
                <w:rFonts w:ascii="Aptos" w:hAnsi="Aptos" w:cs="Segoe UI"/>
                <w:sz w:val="22"/>
                <w:szCs w:val="22"/>
              </w:rPr>
            </w:pPr>
            <w:r w:rsidRPr="0033450D">
              <w:rPr>
                <w:rFonts w:ascii="Aptos" w:hAnsi="Aptos" w:cs="Segoe UI"/>
                <w:sz w:val="22"/>
                <w:szCs w:val="22"/>
              </w:rPr>
              <w:t xml:space="preserve">The single award will be granted by both (or all) institutions/awarding bodies. Upon successful completion of the programme, a joint awards/examination board will confirm the </w:t>
            </w:r>
            <w:proofErr w:type="gramStart"/>
            <w:r w:rsidRPr="0033450D">
              <w:rPr>
                <w:rFonts w:ascii="Aptos" w:hAnsi="Aptos" w:cs="Segoe UI"/>
                <w:sz w:val="22"/>
                <w:szCs w:val="22"/>
              </w:rPr>
              <w:t>achievement</w:t>
            </w:r>
            <w:proofErr w:type="gramEnd"/>
            <w:r w:rsidRPr="0033450D">
              <w:rPr>
                <w:rFonts w:ascii="Aptos" w:hAnsi="Aptos" w:cs="Segoe UI"/>
                <w:sz w:val="22"/>
                <w:szCs w:val="22"/>
              </w:rPr>
              <w:t xml:space="preserve"> and a student receives a single certificate referencing the names of both/all institutions</w:t>
            </w:r>
          </w:p>
        </w:tc>
      </w:tr>
      <w:tr w:rsidR="0A615D2F" w:rsidRPr="007B71A7" w14:paraId="3DA749BB" w14:textId="77777777" w:rsidTr="00FB2D48">
        <w:trPr>
          <w:trHeight w:val="304"/>
        </w:trPr>
        <w:tc>
          <w:tcPr>
            <w:tcW w:w="3092" w:type="dxa"/>
          </w:tcPr>
          <w:p w14:paraId="045DD4A9"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Academic regulations and policies</w:t>
            </w:r>
          </w:p>
        </w:tc>
        <w:tc>
          <w:tcPr>
            <w:tcW w:w="6723" w:type="dxa"/>
          </w:tcPr>
          <w:p w14:paraId="06FB0E27" w14:textId="151EA481" w:rsidR="0A615D2F" w:rsidRPr="0033450D" w:rsidRDefault="0A615D2F" w:rsidP="0A615D2F">
            <w:pPr>
              <w:rPr>
                <w:rFonts w:ascii="Aptos" w:hAnsi="Aptos" w:cs="Segoe UI"/>
                <w:sz w:val="22"/>
                <w:szCs w:val="22"/>
              </w:rPr>
            </w:pPr>
            <w:r w:rsidRPr="0033450D">
              <w:rPr>
                <w:rFonts w:ascii="Aptos" w:hAnsi="Aptos" w:cs="Segoe UI"/>
                <w:sz w:val="22"/>
                <w:szCs w:val="22"/>
              </w:rPr>
              <w:t>The academic regulations and policies that apply are agreed jointly between Birkbeck and the partner(s), and must be no less than those offered for programme delivered solely by Birkbeck</w:t>
            </w:r>
          </w:p>
        </w:tc>
      </w:tr>
      <w:tr w:rsidR="0A615D2F" w:rsidRPr="007B71A7" w14:paraId="1A96C913" w14:textId="77777777" w:rsidTr="00FB2D48">
        <w:trPr>
          <w:trHeight w:val="304"/>
        </w:trPr>
        <w:tc>
          <w:tcPr>
            <w:tcW w:w="3092" w:type="dxa"/>
          </w:tcPr>
          <w:p w14:paraId="466CAFCB" w14:textId="53BACC96" w:rsidR="0A615D2F" w:rsidRPr="0033450D" w:rsidRDefault="0A615D2F" w:rsidP="0A615D2F">
            <w:pPr>
              <w:rPr>
                <w:rFonts w:ascii="Aptos" w:hAnsi="Aptos" w:cs="Segoe UI"/>
                <w:b/>
                <w:bCs/>
                <w:sz w:val="22"/>
                <w:szCs w:val="22"/>
              </w:rPr>
            </w:pPr>
            <w:r w:rsidRPr="0033450D">
              <w:rPr>
                <w:rFonts w:ascii="Aptos" w:hAnsi="Aptos" w:cs="Segoe UI"/>
                <w:b/>
                <w:bCs/>
                <w:sz w:val="22"/>
                <w:szCs w:val="22"/>
              </w:rPr>
              <w:t>Student contractual relationship</w:t>
            </w:r>
          </w:p>
        </w:tc>
        <w:tc>
          <w:tcPr>
            <w:tcW w:w="6723" w:type="dxa"/>
          </w:tcPr>
          <w:p w14:paraId="481DFC9E" w14:textId="485CA3FB" w:rsidR="0A615D2F" w:rsidRPr="0033450D" w:rsidRDefault="0A615D2F" w:rsidP="0A615D2F">
            <w:pPr>
              <w:rPr>
                <w:rFonts w:ascii="Aptos" w:hAnsi="Aptos" w:cs="Segoe UI"/>
                <w:sz w:val="22"/>
                <w:szCs w:val="22"/>
              </w:rPr>
            </w:pPr>
            <w:r w:rsidRPr="0033450D">
              <w:rPr>
                <w:rFonts w:ascii="Aptos" w:hAnsi="Aptos" w:cs="Segoe UI"/>
                <w:sz w:val="22"/>
                <w:szCs w:val="22"/>
              </w:rPr>
              <w:t>Birkbeck and Partner(s)</w:t>
            </w:r>
          </w:p>
        </w:tc>
      </w:tr>
      <w:tr w:rsidR="0A615D2F" w:rsidRPr="007B71A7" w14:paraId="622673CD" w14:textId="77777777" w:rsidTr="00FB2D48">
        <w:trPr>
          <w:trHeight w:val="304"/>
        </w:trPr>
        <w:tc>
          <w:tcPr>
            <w:tcW w:w="3092" w:type="dxa"/>
          </w:tcPr>
          <w:p w14:paraId="251D2C99"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Student Protection Plan</w:t>
            </w:r>
          </w:p>
        </w:tc>
        <w:tc>
          <w:tcPr>
            <w:tcW w:w="6723" w:type="dxa"/>
          </w:tcPr>
          <w:p w14:paraId="7BBB0367" w14:textId="036BFEC5" w:rsidR="0A615D2F" w:rsidRPr="0033450D" w:rsidRDefault="0A615D2F" w:rsidP="0A615D2F">
            <w:pPr>
              <w:rPr>
                <w:rFonts w:ascii="Aptos" w:hAnsi="Aptos" w:cs="Segoe UI"/>
                <w:sz w:val="22"/>
                <w:szCs w:val="22"/>
              </w:rPr>
            </w:pPr>
            <w:r w:rsidRPr="0033450D">
              <w:rPr>
                <w:rFonts w:ascii="Aptos" w:hAnsi="Aptos" w:cs="Segoe UI"/>
                <w:sz w:val="22"/>
                <w:szCs w:val="22"/>
              </w:rPr>
              <w:t>Birkbeck and partner (if partner is registered with the Office for Students)</w:t>
            </w:r>
          </w:p>
        </w:tc>
      </w:tr>
      <w:tr w:rsidR="0A615D2F" w:rsidRPr="007B71A7" w14:paraId="46C79A80" w14:textId="77777777" w:rsidTr="00FB2D48">
        <w:trPr>
          <w:trHeight w:val="304"/>
        </w:trPr>
        <w:tc>
          <w:tcPr>
            <w:tcW w:w="3092" w:type="dxa"/>
          </w:tcPr>
          <w:p w14:paraId="3127FA7B"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Birkbeck approval process</w:t>
            </w:r>
          </w:p>
        </w:tc>
        <w:tc>
          <w:tcPr>
            <w:tcW w:w="6723" w:type="dxa"/>
          </w:tcPr>
          <w:p w14:paraId="583A3F9F" w14:textId="4106EC57" w:rsidR="0A615D2F" w:rsidRPr="0033450D" w:rsidRDefault="005E4758" w:rsidP="0A615D2F">
            <w:pPr>
              <w:rPr>
                <w:rFonts w:ascii="Aptos" w:hAnsi="Aptos" w:cs="Segoe UI"/>
                <w:sz w:val="22"/>
                <w:szCs w:val="22"/>
              </w:rPr>
            </w:pPr>
            <w:r w:rsidRPr="0033450D">
              <w:rPr>
                <w:rFonts w:ascii="Aptos" w:hAnsi="Aptos" w:cs="Segoe UI"/>
                <w:sz w:val="22"/>
                <w:szCs w:val="22"/>
              </w:rPr>
              <w:t>Stage</w:t>
            </w:r>
            <w:r>
              <w:rPr>
                <w:rFonts w:ascii="Aptos" w:hAnsi="Aptos" w:cs="Segoe UI"/>
                <w:sz w:val="22"/>
                <w:szCs w:val="22"/>
              </w:rPr>
              <w:t xml:space="preserve">s 0-3 </w:t>
            </w:r>
            <w:r w:rsidRPr="0033450D">
              <w:rPr>
                <w:rFonts w:ascii="Aptos" w:hAnsi="Aptos" w:cs="Segoe UI"/>
                <w:sz w:val="22"/>
                <w:szCs w:val="22"/>
              </w:rPr>
              <w:t>apply</w:t>
            </w:r>
            <w:r w:rsidR="0A615D2F" w:rsidRPr="0033450D">
              <w:rPr>
                <w:rFonts w:ascii="Aptos" w:hAnsi="Aptos" w:cs="Segoe UI"/>
                <w:sz w:val="22"/>
                <w:szCs w:val="22"/>
              </w:rPr>
              <w:t>. The due diligence process requires confirmation that a partner can legally engage in this type of collaboration. Not all institutions permit this activity</w:t>
            </w:r>
          </w:p>
        </w:tc>
      </w:tr>
      <w:tr w:rsidR="0A615D2F" w:rsidRPr="007B71A7" w14:paraId="61D078D4" w14:textId="77777777" w:rsidTr="00FB2D48">
        <w:trPr>
          <w:trHeight w:val="304"/>
        </w:trPr>
        <w:tc>
          <w:tcPr>
            <w:tcW w:w="3092" w:type="dxa"/>
          </w:tcPr>
          <w:p w14:paraId="34A0912A" w14:textId="355FB345" w:rsidR="0A615D2F" w:rsidRPr="0033450D" w:rsidRDefault="0A615D2F" w:rsidP="0A615D2F">
            <w:pPr>
              <w:rPr>
                <w:rFonts w:ascii="Aptos" w:hAnsi="Aptos" w:cs="Segoe UI"/>
                <w:sz w:val="22"/>
                <w:szCs w:val="22"/>
              </w:rPr>
            </w:pPr>
            <w:r w:rsidRPr="0033450D">
              <w:rPr>
                <w:rFonts w:ascii="Aptos" w:hAnsi="Aptos" w:cs="Segoe UI"/>
                <w:b/>
                <w:bCs/>
                <w:sz w:val="22"/>
                <w:szCs w:val="22"/>
              </w:rPr>
              <w:t xml:space="preserve">Birkbeck focus </w:t>
            </w:r>
            <w:proofErr w:type="gramStart"/>
            <w:r w:rsidRPr="0033450D">
              <w:rPr>
                <w:rFonts w:ascii="Aptos" w:hAnsi="Aptos" w:cs="Segoe UI"/>
                <w:b/>
                <w:bCs/>
                <w:sz w:val="22"/>
                <w:szCs w:val="22"/>
              </w:rPr>
              <w:t>in</w:t>
            </w:r>
            <w:proofErr w:type="gramEnd"/>
            <w:r w:rsidRPr="0033450D">
              <w:rPr>
                <w:rFonts w:ascii="Aptos" w:hAnsi="Aptos" w:cs="Segoe UI"/>
                <w:b/>
                <w:bCs/>
                <w:sz w:val="22"/>
                <w:szCs w:val="22"/>
              </w:rPr>
              <w:t xml:space="preserve"> the Stage 1 process</w:t>
            </w:r>
          </w:p>
        </w:tc>
        <w:tc>
          <w:tcPr>
            <w:tcW w:w="6723" w:type="dxa"/>
          </w:tcPr>
          <w:p w14:paraId="0CE13BB8" w14:textId="7EC77F4E" w:rsidR="0A615D2F" w:rsidRPr="0033450D" w:rsidRDefault="0A615D2F" w:rsidP="0A615D2F">
            <w:pPr>
              <w:rPr>
                <w:rFonts w:ascii="Aptos" w:hAnsi="Aptos" w:cs="Segoe UI"/>
                <w:sz w:val="22"/>
                <w:szCs w:val="22"/>
              </w:rPr>
            </w:pPr>
            <w:r w:rsidRPr="0033450D">
              <w:rPr>
                <w:rFonts w:ascii="Aptos" w:hAnsi="Aptos" w:cs="Segoe UI"/>
                <w:sz w:val="22"/>
                <w:szCs w:val="22"/>
              </w:rPr>
              <w:t>Stage 1 may be adapted to enable the needs of Birkbeck and the partner to be met in the most efficient way (i.e. to avoid duplicate approval processes)</w:t>
            </w:r>
          </w:p>
        </w:tc>
      </w:tr>
      <w:tr w:rsidR="0A615D2F" w:rsidRPr="007B71A7" w14:paraId="4F43DA6B" w14:textId="77777777" w:rsidTr="00FB2D48">
        <w:trPr>
          <w:trHeight w:val="304"/>
        </w:trPr>
        <w:tc>
          <w:tcPr>
            <w:tcW w:w="3092" w:type="dxa"/>
          </w:tcPr>
          <w:p w14:paraId="6244A641"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Student data and statutory returns</w:t>
            </w:r>
          </w:p>
        </w:tc>
        <w:tc>
          <w:tcPr>
            <w:tcW w:w="6723" w:type="dxa"/>
          </w:tcPr>
          <w:p w14:paraId="3566257B" w14:textId="7ED4CCB7" w:rsidR="0A615D2F" w:rsidRPr="0033450D" w:rsidRDefault="0A615D2F" w:rsidP="0A615D2F">
            <w:pPr>
              <w:rPr>
                <w:rFonts w:ascii="Aptos" w:hAnsi="Aptos" w:cs="Segoe UI"/>
                <w:sz w:val="22"/>
                <w:szCs w:val="22"/>
              </w:rPr>
            </w:pPr>
            <w:r w:rsidRPr="0033450D">
              <w:rPr>
                <w:rFonts w:ascii="Aptos" w:hAnsi="Aptos" w:cs="Segoe UI"/>
                <w:sz w:val="22"/>
                <w:szCs w:val="22"/>
              </w:rPr>
              <w:t>To follow requirements set out by the Office for Students and informed by sector practice</w:t>
            </w:r>
          </w:p>
        </w:tc>
      </w:tr>
      <w:tr w:rsidR="0A615D2F" w:rsidRPr="007B71A7" w14:paraId="3351AAC7" w14:textId="77777777" w:rsidTr="00FB2D48">
        <w:trPr>
          <w:trHeight w:val="304"/>
        </w:trPr>
        <w:tc>
          <w:tcPr>
            <w:tcW w:w="3092" w:type="dxa"/>
          </w:tcPr>
          <w:p w14:paraId="17CC0FFD" w14:textId="3A47E30C" w:rsidR="0A615D2F" w:rsidRPr="0033450D" w:rsidRDefault="0A615D2F" w:rsidP="0A615D2F">
            <w:pPr>
              <w:rPr>
                <w:rFonts w:ascii="Aptos" w:hAnsi="Aptos" w:cs="Segoe UI"/>
                <w:b/>
                <w:bCs/>
                <w:sz w:val="22"/>
                <w:szCs w:val="22"/>
              </w:rPr>
            </w:pPr>
            <w:r w:rsidRPr="0033450D">
              <w:rPr>
                <w:rFonts w:ascii="Aptos" w:hAnsi="Aptos" w:cs="Segoe UI"/>
                <w:b/>
                <w:bCs/>
                <w:sz w:val="22"/>
                <w:szCs w:val="22"/>
              </w:rPr>
              <w:t>Monitoring</w:t>
            </w:r>
          </w:p>
        </w:tc>
        <w:tc>
          <w:tcPr>
            <w:tcW w:w="6723" w:type="dxa"/>
          </w:tcPr>
          <w:p w14:paraId="71DA4336" w14:textId="72DE1255" w:rsidR="0A615D2F" w:rsidRPr="0033450D" w:rsidRDefault="0A615D2F" w:rsidP="0A615D2F">
            <w:pPr>
              <w:rPr>
                <w:rFonts w:ascii="Aptos" w:hAnsi="Aptos" w:cs="Segoe UI"/>
                <w:sz w:val="22"/>
                <w:szCs w:val="22"/>
              </w:rPr>
            </w:pPr>
            <w:r w:rsidRPr="0033450D">
              <w:rPr>
                <w:rFonts w:ascii="Aptos" w:hAnsi="Aptos" w:cs="Segoe UI"/>
                <w:sz w:val="22"/>
                <w:szCs w:val="22"/>
              </w:rPr>
              <w:t xml:space="preserve">Annual review in line with on-campus provision to ensure </w:t>
            </w:r>
            <w:proofErr w:type="spellStart"/>
            <w:r w:rsidRPr="0033450D">
              <w:rPr>
                <w:rFonts w:ascii="Aptos" w:hAnsi="Aptos" w:cs="Segoe UI"/>
                <w:sz w:val="22"/>
                <w:szCs w:val="22"/>
              </w:rPr>
              <w:t>OfS</w:t>
            </w:r>
            <w:proofErr w:type="spellEnd"/>
            <w:r w:rsidRPr="0033450D">
              <w:rPr>
                <w:rFonts w:ascii="Aptos" w:hAnsi="Aptos" w:cs="Segoe UI"/>
                <w:sz w:val="22"/>
                <w:szCs w:val="22"/>
              </w:rPr>
              <w:t xml:space="preserve"> B metrics, and sustainability of appropriate facilities </w:t>
            </w:r>
          </w:p>
        </w:tc>
      </w:tr>
      <w:tr w:rsidR="0A615D2F" w:rsidRPr="007B71A7" w14:paraId="658270C9" w14:textId="77777777" w:rsidTr="00FB2D48">
        <w:trPr>
          <w:trHeight w:val="304"/>
        </w:trPr>
        <w:tc>
          <w:tcPr>
            <w:tcW w:w="3092" w:type="dxa"/>
          </w:tcPr>
          <w:p w14:paraId="432E050E"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Overall risk level</w:t>
            </w:r>
          </w:p>
        </w:tc>
        <w:tc>
          <w:tcPr>
            <w:tcW w:w="6723" w:type="dxa"/>
          </w:tcPr>
          <w:p w14:paraId="2498FCEF" w14:textId="48D8190E" w:rsidR="0A615D2F" w:rsidRPr="0033450D" w:rsidRDefault="0A615D2F" w:rsidP="0A615D2F">
            <w:pPr>
              <w:rPr>
                <w:rFonts w:ascii="Aptos" w:hAnsi="Aptos" w:cs="Segoe UI"/>
                <w:sz w:val="22"/>
                <w:szCs w:val="22"/>
              </w:rPr>
            </w:pPr>
            <w:r w:rsidRPr="0033450D">
              <w:rPr>
                <w:rFonts w:ascii="Aptos" w:hAnsi="Aptos" w:cs="Segoe UI"/>
                <w:sz w:val="22"/>
                <w:szCs w:val="22"/>
              </w:rPr>
              <w:t>High</w:t>
            </w:r>
          </w:p>
        </w:tc>
      </w:tr>
    </w:tbl>
    <w:p w14:paraId="13D602FF" w14:textId="6756A68D" w:rsidR="006A23E9" w:rsidRPr="0033450D" w:rsidRDefault="0A0F4CBE">
      <w:pPr>
        <w:rPr>
          <w:rFonts w:ascii="Aptos" w:hAnsi="Aptos" w:cs="Segoe UI"/>
          <w:b/>
          <w:bCs/>
          <w:sz w:val="22"/>
          <w:szCs w:val="22"/>
        </w:rPr>
      </w:pPr>
      <w:r w:rsidRPr="0033450D">
        <w:rPr>
          <w:rFonts w:ascii="Aptos" w:hAnsi="Aptos" w:cs="Segoe UI"/>
          <w:b/>
          <w:bCs/>
          <w:sz w:val="22"/>
          <w:szCs w:val="22"/>
        </w:rPr>
        <w:br w:type="page"/>
      </w:r>
    </w:p>
    <w:p w14:paraId="6DFF50D0" w14:textId="271279D6" w:rsidR="0A0F4CBE" w:rsidRPr="00306EA7" w:rsidRDefault="0A0F4CBE" w:rsidP="001545CB">
      <w:pPr>
        <w:pStyle w:val="Heading3"/>
      </w:pPr>
      <w:bookmarkStart w:id="6" w:name="_Toc233884397"/>
      <w:r w:rsidRPr="00306EA7">
        <w:lastRenderedPageBreak/>
        <w:t>Dual Degree Award</w:t>
      </w:r>
      <w:r w:rsidR="00192D1C" w:rsidRPr="00306EA7">
        <w:t xml:space="preserve"> (also referred to as Double Degree Awards)</w:t>
      </w:r>
      <w:bookmarkEnd w:id="6"/>
    </w:p>
    <w:p w14:paraId="44417BFA" w14:textId="77777777" w:rsidR="0A615D2F" w:rsidRPr="0033450D" w:rsidRDefault="0A615D2F" w:rsidP="0A615D2F">
      <w:pPr>
        <w:rPr>
          <w:rFonts w:ascii="Aptos" w:hAnsi="Aptos" w:cs="Segoe UI"/>
          <w:sz w:val="22"/>
          <w:szCs w:val="22"/>
        </w:rPr>
      </w:pPr>
    </w:p>
    <w:p w14:paraId="5CFDEA11" w14:textId="47B7A3B2" w:rsidR="0098482F" w:rsidRDefault="0A0F4CBE" w:rsidP="0A615D2F">
      <w:pPr>
        <w:ind w:right="32"/>
        <w:rPr>
          <w:rFonts w:ascii="Aptos" w:eastAsia="Arial" w:hAnsi="Aptos" w:cs="Segoe UI"/>
          <w:sz w:val="22"/>
          <w:szCs w:val="22"/>
        </w:rPr>
      </w:pPr>
      <w:r w:rsidRPr="0109001B">
        <w:rPr>
          <w:rFonts w:ascii="Aptos" w:eastAsia="Arial" w:hAnsi="Aptos" w:cs="Segoe UI"/>
          <w:sz w:val="22"/>
          <w:szCs w:val="22"/>
        </w:rPr>
        <w:t>Birkbeck and one, or more, degree awarding partners</w:t>
      </w:r>
      <w:r w:rsidR="0098482F" w:rsidRPr="0109001B">
        <w:rPr>
          <w:rFonts w:ascii="Aptos" w:eastAsia="Arial" w:hAnsi="Aptos" w:cs="Segoe UI"/>
          <w:sz w:val="22"/>
          <w:szCs w:val="22"/>
        </w:rPr>
        <w:t xml:space="preserve"> are jointly responsible for the development, design, delivery, assessment and management of a single programme that leads to two, or more, awards</w:t>
      </w:r>
      <w:r w:rsidR="00036636" w:rsidRPr="0109001B">
        <w:rPr>
          <w:rFonts w:ascii="Aptos" w:eastAsia="Arial" w:hAnsi="Aptos" w:cs="Segoe UI"/>
          <w:sz w:val="22"/>
          <w:szCs w:val="22"/>
        </w:rPr>
        <w:t xml:space="preserve"> and certificates</w:t>
      </w:r>
      <w:r w:rsidR="0098482F" w:rsidRPr="0109001B">
        <w:rPr>
          <w:rFonts w:ascii="Aptos" w:eastAsia="Arial" w:hAnsi="Aptos" w:cs="Segoe UI"/>
          <w:sz w:val="22"/>
          <w:szCs w:val="22"/>
        </w:rPr>
        <w:t xml:space="preserve">. </w:t>
      </w:r>
      <w:r w:rsidR="00A75E56" w:rsidRPr="0109001B">
        <w:rPr>
          <w:rFonts w:ascii="Aptos" w:eastAsia="Arial" w:hAnsi="Aptos" w:cs="Segoe UI"/>
          <w:sz w:val="22"/>
          <w:szCs w:val="22"/>
        </w:rPr>
        <w:t xml:space="preserve">The awards are interdependent and it is not usually possible for a student to obtain an award from only one partner institution. </w:t>
      </w:r>
      <w:r w:rsidR="0099740F" w:rsidRPr="0109001B">
        <w:rPr>
          <w:rFonts w:ascii="Aptos" w:eastAsia="Arial" w:hAnsi="Aptos" w:cs="Segoe UI"/>
          <w:sz w:val="22"/>
          <w:szCs w:val="22"/>
        </w:rPr>
        <w:t>Students are registered at both/ all institutions through</w:t>
      </w:r>
      <w:r w:rsidR="436153B7" w:rsidRPr="0109001B">
        <w:rPr>
          <w:rFonts w:ascii="Aptos" w:eastAsia="Arial" w:hAnsi="Aptos" w:cs="Segoe UI"/>
          <w:sz w:val="22"/>
          <w:szCs w:val="22"/>
        </w:rPr>
        <w:t>out</w:t>
      </w:r>
      <w:r w:rsidR="0099740F" w:rsidRPr="0109001B">
        <w:rPr>
          <w:rFonts w:ascii="Aptos" w:eastAsia="Arial" w:hAnsi="Aptos" w:cs="Segoe UI"/>
          <w:sz w:val="22"/>
          <w:szCs w:val="22"/>
        </w:rPr>
        <w:t xml:space="preserve"> their studies. </w:t>
      </w:r>
      <w:r w:rsidR="00F22F90" w:rsidRPr="0109001B">
        <w:rPr>
          <w:rFonts w:ascii="Aptos" w:eastAsia="Arial" w:hAnsi="Aptos" w:cs="Segoe UI"/>
          <w:sz w:val="22"/>
          <w:szCs w:val="22"/>
        </w:rPr>
        <w:t>This is different to a joint degree award in which the student receives one award.</w:t>
      </w:r>
      <w:r w:rsidR="000479D7" w:rsidRPr="0109001B">
        <w:rPr>
          <w:rFonts w:ascii="Aptos" w:eastAsia="Arial" w:hAnsi="Aptos" w:cs="Segoe UI"/>
          <w:sz w:val="22"/>
          <w:szCs w:val="22"/>
        </w:rPr>
        <w:t xml:space="preserve"> </w:t>
      </w:r>
      <w:r w:rsidRPr="0109001B">
        <w:rPr>
          <w:rFonts w:ascii="Aptos" w:eastAsia="Arial" w:hAnsi="Aptos" w:cs="Segoe UI"/>
          <w:sz w:val="22"/>
          <w:szCs w:val="22"/>
        </w:rPr>
        <w:t>Partners must meet the threshold criteria for taught degree awarding powers in the UK.</w:t>
      </w:r>
    </w:p>
    <w:p w14:paraId="35EE60A8" w14:textId="5DA6A467" w:rsidR="0A0F4CBE" w:rsidRPr="0033450D" w:rsidRDefault="0A0F4CBE" w:rsidP="0A615D2F">
      <w:pPr>
        <w:ind w:right="32"/>
        <w:rPr>
          <w:rFonts w:ascii="Aptos" w:eastAsia="Arial" w:hAnsi="Aptos" w:cs="Segoe UI"/>
          <w:sz w:val="22"/>
          <w:szCs w:val="22"/>
        </w:rPr>
      </w:pPr>
      <w:r w:rsidRPr="007B71A7">
        <w:t xml:space="preserve">        </w:t>
      </w:r>
      <w:r w:rsidRPr="0033450D">
        <w:t xml:space="preserve"> </w:t>
      </w:r>
    </w:p>
    <w:tbl>
      <w:tblPr>
        <w:tblStyle w:val="TableGrid"/>
        <w:tblW w:w="0" w:type="auto"/>
        <w:tblLook w:val="04A0" w:firstRow="1" w:lastRow="0" w:firstColumn="1" w:lastColumn="0" w:noHBand="0" w:noVBand="1"/>
      </w:tblPr>
      <w:tblGrid>
        <w:gridCol w:w="3146"/>
        <w:gridCol w:w="6657"/>
      </w:tblGrid>
      <w:tr w:rsidR="0A615D2F" w:rsidRPr="007B71A7" w14:paraId="71A00EF3" w14:textId="77777777" w:rsidTr="00FB2D48">
        <w:trPr>
          <w:trHeight w:val="306"/>
        </w:trPr>
        <w:tc>
          <w:tcPr>
            <w:tcW w:w="3146" w:type="dxa"/>
          </w:tcPr>
          <w:p w14:paraId="662D92D0" w14:textId="769B4F12" w:rsidR="0A615D2F" w:rsidRPr="0033450D" w:rsidRDefault="0A615D2F" w:rsidP="0A615D2F">
            <w:pPr>
              <w:rPr>
                <w:rFonts w:ascii="Aptos" w:hAnsi="Aptos" w:cs="Segoe UI"/>
                <w:b/>
                <w:bCs/>
                <w:sz w:val="22"/>
                <w:szCs w:val="22"/>
              </w:rPr>
            </w:pPr>
            <w:r w:rsidRPr="0033450D">
              <w:rPr>
                <w:rFonts w:ascii="Aptos" w:hAnsi="Aptos" w:cs="Segoe UI"/>
                <w:b/>
                <w:bCs/>
                <w:sz w:val="22"/>
                <w:szCs w:val="22"/>
              </w:rPr>
              <w:t>Responsibility</w:t>
            </w:r>
          </w:p>
          <w:p w14:paraId="7CABC46F" w14:textId="77777777" w:rsidR="0A615D2F" w:rsidRPr="0033450D" w:rsidRDefault="0A615D2F" w:rsidP="0A615D2F">
            <w:pPr>
              <w:rPr>
                <w:rFonts w:ascii="Aptos" w:hAnsi="Aptos" w:cs="Segoe UI"/>
                <w:sz w:val="22"/>
                <w:szCs w:val="22"/>
              </w:rPr>
            </w:pPr>
          </w:p>
        </w:tc>
        <w:tc>
          <w:tcPr>
            <w:tcW w:w="6657" w:type="dxa"/>
          </w:tcPr>
          <w:p w14:paraId="5F5D6D4D" w14:textId="77777777" w:rsidR="0A615D2F" w:rsidRPr="0033450D" w:rsidRDefault="0A615D2F" w:rsidP="0A615D2F">
            <w:pPr>
              <w:rPr>
                <w:rFonts w:ascii="Aptos" w:hAnsi="Aptos" w:cs="Segoe UI"/>
                <w:b/>
                <w:bCs/>
                <w:sz w:val="22"/>
                <w:szCs w:val="22"/>
              </w:rPr>
            </w:pPr>
            <w:r w:rsidRPr="0033450D">
              <w:rPr>
                <w:rFonts w:ascii="Aptos" w:hAnsi="Aptos" w:cs="Segoe UI"/>
                <w:b/>
                <w:bCs/>
                <w:sz w:val="22"/>
                <w:szCs w:val="22"/>
              </w:rPr>
              <w:t>Approach</w:t>
            </w:r>
          </w:p>
        </w:tc>
      </w:tr>
      <w:tr w:rsidR="0A615D2F" w:rsidRPr="007B71A7" w14:paraId="673D6BB7" w14:textId="77777777" w:rsidTr="00FB2D48">
        <w:trPr>
          <w:trHeight w:val="306"/>
        </w:trPr>
        <w:tc>
          <w:tcPr>
            <w:tcW w:w="3146" w:type="dxa"/>
          </w:tcPr>
          <w:p w14:paraId="542A6C35"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Programme Intellectual Property</w:t>
            </w:r>
          </w:p>
        </w:tc>
        <w:tc>
          <w:tcPr>
            <w:tcW w:w="6657" w:type="dxa"/>
          </w:tcPr>
          <w:p w14:paraId="37136290" w14:textId="5D025BDE" w:rsidR="0A615D2F" w:rsidRPr="0033450D" w:rsidRDefault="00AB301D" w:rsidP="0A615D2F">
            <w:pPr>
              <w:rPr>
                <w:rFonts w:ascii="Aptos" w:hAnsi="Aptos" w:cs="Segoe UI"/>
                <w:sz w:val="22"/>
                <w:szCs w:val="22"/>
              </w:rPr>
            </w:pPr>
            <w:r w:rsidRPr="0033450D">
              <w:rPr>
                <w:rFonts w:ascii="Aptos" w:hAnsi="Aptos" w:cs="Segoe UI"/>
                <w:sz w:val="22"/>
                <w:szCs w:val="22"/>
              </w:rPr>
              <w:t>Programme is designed, delivered, managed and awarded jointly. Therefore, IP is joint.</w:t>
            </w:r>
          </w:p>
        </w:tc>
      </w:tr>
      <w:tr w:rsidR="0A615D2F" w:rsidRPr="007B71A7" w14:paraId="452E6407" w14:textId="77777777" w:rsidTr="00FB2D48">
        <w:trPr>
          <w:trHeight w:val="306"/>
        </w:trPr>
        <w:tc>
          <w:tcPr>
            <w:tcW w:w="3146" w:type="dxa"/>
          </w:tcPr>
          <w:p w14:paraId="1E412F83"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Programme Delivery and Assessment</w:t>
            </w:r>
          </w:p>
        </w:tc>
        <w:tc>
          <w:tcPr>
            <w:tcW w:w="6657" w:type="dxa"/>
          </w:tcPr>
          <w:p w14:paraId="4CF3A637" w14:textId="4A168363" w:rsidR="0A615D2F" w:rsidRPr="0033450D" w:rsidRDefault="0A615D2F" w:rsidP="0A615D2F">
            <w:pPr>
              <w:rPr>
                <w:rFonts w:ascii="Aptos" w:hAnsi="Aptos" w:cs="Segoe UI"/>
                <w:sz w:val="22"/>
                <w:szCs w:val="22"/>
              </w:rPr>
            </w:pPr>
            <w:r w:rsidRPr="0033450D">
              <w:rPr>
                <w:rFonts w:ascii="Aptos" w:hAnsi="Aptos" w:cs="Segoe UI"/>
                <w:sz w:val="22"/>
                <w:szCs w:val="22"/>
              </w:rPr>
              <w:t>Single learning package but delivered separately by Birkbeck and other partners.</w:t>
            </w:r>
          </w:p>
        </w:tc>
      </w:tr>
      <w:tr w:rsidR="0A615D2F" w:rsidRPr="007B71A7" w14:paraId="5A9BAB2A" w14:textId="77777777" w:rsidTr="00FB2D48">
        <w:trPr>
          <w:trHeight w:val="306"/>
        </w:trPr>
        <w:tc>
          <w:tcPr>
            <w:tcW w:w="3146" w:type="dxa"/>
          </w:tcPr>
          <w:p w14:paraId="5582350E"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Award</w:t>
            </w:r>
          </w:p>
        </w:tc>
        <w:tc>
          <w:tcPr>
            <w:tcW w:w="6657" w:type="dxa"/>
          </w:tcPr>
          <w:p w14:paraId="0886B8BA" w14:textId="1283C773" w:rsidR="0A615D2F" w:rsidRPr="0033450D" w:rsidRDefault="0A615D2F" w:rsidP="0A615D2F">
            <w:pPr>
              <w:rPr>
                <w:rFonts w:ascii="Aptos" w:hAnsi="Aptos" w:cs="Segoe UI"/>
                <w:sz w:val="22"/>
                <w:szCs w:val="22"/>
              </w:rPr>
            </w:pPr>
            <w:r w:rsidRPr="0033450D">
              <w:rPr>
                <w:rFonts w:ascii="Aptos" w:hAnsi="Aptos" w:cs="Segoe UI"/>
                <w:sz w:val="22"/>
                <w:szCs w:val="22"/>
              </w:rPr>
              <w:t>Each individual degree awarding institution will confer its own award. The student will also receive a single combined transcript referencing the dual nature of the learning. The total volume of learning is typically greater than that required for any one award alone but less than completing the individual programmes independently in sequence.</w:t>
            </w:r>
          </w:p>
        </w:tc>
      </w:tr>
      <w:tr w:rsidR="0A615D2F" w:rsidRPr="007B71A7" w14:paraId="3C732DB3" w14:textId="77777777" w:rsidTr="00FB2D48">
        <w:trPr>
          <w:trHeight w:val="306"/>
        </w:trPr>
        <w:tc>
          <w:tcPr>
            <w:tcW w:w="3146" w:type="dxa"/>
          </w:tcPr>
          <w:p w14:paraId="00C2CA04"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Academic regulations and policies</w:t>
            </w:r>
          </w:p>
        </w:tc>
        <w:tc>
          <w:tcPr>
            <w:tcW w:w="6657" w:type="dxa"/>
          </w:tcPr>
          <w:p w14:paraId="13AC5254" w14:textId="64874FA5" w:rsidR="0A615D2F" w:rsidRPr="0033450D" w:rsidRDefault="0A615D2F" w:rsidP="0A615D2F">
            <w:pPr>
              <w:rPr>
                <w:rFonts w:ascii="Aptos" w:hAnsi="Aptos" w:cs="Segoe UI"/>
                <w:sz w:val="22"/>
                <w:szCs w:val="22"/>
              </w:rPr>
            </w:pPr>
            <w:r w:rsidRPr="0033450D">
              <w:rPr>
                <w:rFonts w:ascii="Aptos" w:hAnsi="Aptos" w:cs="Segoe UI"/>
                <w:sz w:val="22"/>
                <w:szCs w:val="22"/>
              </w:rPr>
              <w:t xml:space="preserve">Each awarding institution will operate in line with its own academic regulations and policies. </w:t>
            </w:r>
          </w:p>
        </w:tc>
      </w:tr>
      <w:tr w:rsidR="0A615D2F" w:rsidRPr="007B71A7" w14:paraId="621B0DED" w14:textId="77777777" w:rsidTr="00FB2D48">
        <w:trPr>
          <w:trHeight w:val="306"/>
        </w:trPr>
        <w:tc>
          <w:tcPr>
            <w:tcW w:w="3146" w:type="dxa"/>
          </w:tcPr>
          <w:p w14:paraId="0F2B41F1" w14:textId="77777777" w:rsidR="0A615D2F" w:rsidRPr="0033450D" w:rsidRDefault="0A615D2F" w:rsidP="0A615D2F">
            <w:pPr>
              <w:rPr>
                <w:rFonts w:ascii="Aptos" w:hAnsi="Aptos" w:cs="Segoe UI"/>
                <w:b/>
                <w:bCs/>
                <w:sz w:val="22"/>
                <w:szCs w:val="22"/>
              </w:rPr>
            </w:pPr>
            <w:r w:rsidRPr="0033450D">
              <w:rPr>
                <w:rFonts w:ascii="Aptos" w:hAnsi="Aptos" w:cs="Segoe UI"/>
                <w:b/>
                <w:bCs/>
                <w:sz w:val="22"/>
                <w:szCs w:val="22"/>
              </w:rPr>
              <w:t>Student contractual relationship</w:t>
            </w:r>
          </w:p>
        </w:tc>
        <w:tc>
          <w:tcPr>
            <w:tcW w:w="6657" w:type="dxa"/>
          </w:tcPr>
          <w:p w14:paraId="52D01268" w14:textId="77777777" w:rsidR="0A615D2F" w:rsidRPr="0033450D" w:rsidRDefault="0A615D2F" w:rsidP="0A615D2F">
            <w:pPr>
              <w:rPr>
                <w:rFonts w:ascii="Aptos" w:hAnsi="Aptos" w:cs="Segoe UI"/>
                <w:sz w:val="22"/>
                <w:szCs w:val="22"/>
              </w:rPr>
            </w:pPr>
            <w:r w:rsidRPr="0033450D">
              <w:rPr>
                <w:rFonts w:ascii="Aptos" w:hAnsi="Aptos" w:cs="Segoe UI"/>
                <w:sz w:val="22"/>
                <w:szCs w:val="22"/>
              </w:rPr>
              <w:t>Birkbeck and Partner(s)</w:t>
            </w:r>
          </w:p>
        </w:tc>
      </w:tr>
      <w:tr w:rsidR="0A615D2F" w:rsidRPr="007B71A7" w14:paraId="21A1944F" w14:textId="77777777" w:rsidTr="00FB2D48">
        <w:trPr>
          <w:trHeight w:val="306"/>
        </w:trPr>
        <w:tc>
          <w:tcPr>
            <w:tcW w:w="3146" w:type="dxa"/>
          </w:tcPr>
          <w:p w14:paraId="2A65D35C"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Student Protection Plan</w:t>
            </w:r>
          </w:p>
        </w:tc>
        <w:tc>
          <w:tcPr>
            <w:tcW w:w="6657" w:type="dxa"/>
          </w:tcPr>
          <w:p w14:paraId="38D457DC" w14:textId="77777777" w:rsidR="0A615D2F" w:rsidRPr="0033450D" w:rsidRDefault="0A615D2F" w:rsidP="0A615D2F">
            <w:pPr>
              <w:rPr>
                <w:rFonts w:ascii="Aptos" w:hAnsi="Aptos" w:cs="Segoe UI"/>
                <w:sz w:val="22"/>
                <w:szCs w:val="22"/>
              </w:rPr>
            </w:pPr>
            <w:r w:rsidRPr="0033450D">
              <w:rPr>
                <w:rFonts w:ascii="Aptos" w:hAnsi="Aptos" w:cs="Segoe UI"/>
                <w:sz w:val="22"/>
                <w:szCs w:val="22"/>
              </w:rPr>
              <w:t>Birkbeck and partner (if partner is registered with the Office for Students)</w:t>
            </w:r>
          </w:p>
        </w:tc>
      </w:tr>
      <w:tr w:rsidR="0A615D2F" w:rsidRPr="007B71A7" w14:paraId="4CD1C045" w14:textId="77777777" w:rsidTr="00FB2D48">
        <w:trPr>
          <w:trHeight w:val="306"/>
        </w:trPr>
        <w:tc>
          <w:tcPr>
            <w:tcW w:w="3146" w:type="dxa"/>
          </w:tcPr>
          <w:p w14:paraId="4C3D87DB"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Birkbeck approval process</w:t>
            </w:r>
          </w:p>
        </w:tc>
        <w:tc>
          <w:tcPr>
            <w:tcW w:w="6657" w:type="dxa"/>
          </w:tcPr>
          <w:p w14:paraId="4216DC63" w14:textId="49E6114E" w:rsidR="0A615D2F" w:rsidRPr="0033450D" w:rsidRDefault="001209B3" w:rsidP="0A615D2F">
            <w:pPr>
              <w:rPr>
                <w:rFonts w:ascii="Aptos" w:hAnsi="Aptos" w:cs="Segoe UI"/>
                <w:sz w:val="22"/>
                <w:szCs w:val="22"/>
              </w:rPr>
            </w:pPr>
            <w:r w:rsidRPr="0033450D">
              <w:rPr>
                <w:rFonts w:ascii="Aptos" w:hAnsi="Aptos" w:cs="Segoe UI"/>
                <w:sz w:val="22"/>
                <w:szCs w:val="22"/>
              </w:rPr>
              <w:t>Stage</w:t>
            </w:r>
            <w:r>
              <w:rPr>
                <w:rFonts w:ascii="Aptos" w:hAnsi="Aptos" w:cs="Segoe UI"/>
                <w:sz w:val="22"/>
                <w:szCs w:val="22"/>
              </w:rPr>
              <w:t xml:space="preserve">s 0-3 </w:t>
            </w:r>
            <w:r w:rsidRPr="0033450D">
              <w:rPr>
                <w:rFonts w:ascii="Aptos" w:hAnsi="Aptos" w:cs="Segoe UI"/>
                <w:sz w:val="22"/>
                <w:szCs w:val="22"/>
              </w:rPr>
              <w:t>apply</w:t>
            </w:r>
            <w:r w:rsidR="0A615D2F" w:rsidRPr="0033450D">
              <w:rPr>
                <w:rFonts w:ascii="Aptos" w:hAnsi="Aptos" w:cs="Segoe UI"/>
                <w:sz w:val="22"/>
                <w:szCs w:val="22"/>
              </w:rPr>
              <w:t>. The due diligence process requires confirmation that a partner can legally engage in this type of collaboration. Not all institutions permit this activity</w:t>
            </w:r>
          </w:p>
        </w:tc>
      </w:tr>
      <w:tr w:rsidR="0A615D2F" w:rsidRPr="007B71A7" w14:paraId="524F19CA" w14:textId="77777777" w:rsidTr="00FB2D48">
        <w:trPr>
          <w:trHeight w:val="306"/>
        </w:trPr>
        <w:tc>
          <w:tcPr>
            <w:tcW w:w="3146" w:type="dxa"/>
          </w:tcPr>
          <w:p w14:paraId="7EA72F5A"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 xml:space="preserve">Birkbeck focus </w:t>
            </w:r>
            <w:proofErr w:type="gramStart"/>
            <w:r w:rsidRPr="0033450D">
              <w:rPr>
                <w:rFonts w:ascii="Aptos" w:hAnsi="Aptos" w:cs="Segoe UI"/>
                <w:b/>
                <w:bCs/>
                <w:sz w:val="22"/>
                <w:szCs w:val="22"/>
              </w:rPr>
              <w:t>in</w:t>
            </w:r>
            <w:proofErr w:type="gramEnd"/>
            <w:r w:rsidRPr="0033450D">
              <w:rPr>
                <w:rFonts w:ascii="Aptos" w:hAnsi="Aptos" w:cs="Segoe UI"/>
                <w:b/>
                <w:bCs/>
                <w:sz w:val="22"/>
                <w:szCs w:val="22"/>
              </w:rPr>
              <w:t xml:space="preserve"> the Stage 1 process</w:t>
            </w:r>
          </w:p>
        </w:tc>
        <w:tc>
          <w:tcPr>
            <w:tcW w:w="6657" w:type="dxa"/>
          </w:tcPr>
          <w:p w14:paraId="1F23ADEA" w14:textId="77777777" w:rsidR="0A615D2F" w:rsidRPr="0033450D" w:rsidRDefault="0A615D2F" w:rsidP="0A615D2F">
            <w:pPr>
              <w:rPr>
                <w:rFonts w:ascii="Aptos" w:hAnsi="Aptos" w:cs="Segoe UI"/>
                <w:sz w:val="22"/>
                <w:szCs w:val="22"/>
              </w:rPr>
            </w:pPr>
            <w:r w:rsidRPr="0033450D">
              <w:rPr>
                <w:rFonts w:ascii="Aptos" w:hAnsi="Aptos" w:cs="Segoe UI"/>
                <w:sz w:val="22"/>
                <w:szCs w:val="22"/>
              </w:rPr>
              <w:t>Stage 1 may be adapted to enable the needs of Birkbeck and the partner to be met in the most efficient way (i.e. to avoid duplicate approval processes)</w:t>
            </w:r>
          </w:p>
        </w:tc>
      </w:tr>
      <w:tr w:rsidR="0A615D2F" w:rsidRPr="007B71A7" w14:paraId="41228ECF" w14:textId="77777777" w:rsidTr="00FB2D48">
        <w:trPr>
          <w:trHeight w:val="306"/>
        </w:trPr>
        <w:tc>
          <w:tcPr>
            <w:tcW w:w="3146" w:type="dxa"/>
          </w:tcPr>
          <w:p w14:paraId="76E54490"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Student data and statutory returns</w:t>
            </w:r>
          </w:p>
        </w:tc>
        <w:tc>
          <w:tcPr>
            <w:tcW w:w="6657" w:type="dxa"/>
          </w:tcPr>
          <w:p w14:paraId="7C1244F4" w14:textId="77777777" w:rsidR="0A615D2F" w:rsidRPr="0033450D" w:rsidRDefault="0A615D2F" w:rsidP="0A615D2F">
            <w:pPr>
              <w:rPr>
                <w:rFonts w:ascii="Aptos" w:hAnsi="Aptos" w:cs="Segoe UI"/>
                <w:sz w:val="22"/>
                <w:szCs w:val="22"/>
              </w:rPr>
            </w:pPr>
            <w:r w:rsidRPr="0033450D">
              <w:rPr>
                <w:rFonts w:ascii="Aptos" w:hAnsi="Aptos" w:cs="Segoe UI"/>
                <w:sz w:val="22"/>
                <w:szCs w:val="22"/>
              </w:rPr>
              <w:t>To follow requirements set out by the Office for Students and informed by sector practice</w:t>
            </w:r>
          </w:p>
        </w:tc>
      </w:tr>
      <w:tr w:rsidR="0A615D2F" w:rsidRPr="007B71A7" w14:paraId="546DEC4D" w14:textId="77777777" w:rsidTr="00FB2D48">
        <w:trPr>
          <w:trHeight w:val="306"/>
        </w:trPr>
        <w:tc>
          <w:tcPr>
            <w:tcW w:w="3146" w:type="dxa"/>
          </w:tcPr>
          <w:p w14:paraId="0F970F42" w14:textId="77777777" w:rsidR="0A615D2F" w:rsidRPr="0033450D" w:rsidRDefault="0A615D2F" w:rsidP="0A615D2F">
            <w:pPr>
              <w:rPr>
                <w:rFonts w:ascii="Aptos" w:hAnsi="Aptos" w:cs="Segoe UI"/>
                <w:b/>
                <w:bCs/>
                <w:sz w:val="22"/>
                <w:szCs w:val="22"/>
              </w:rPr>
            </w:pPr>
            <w:r w:rsidRPr="0033450D">
              <w:rPr>
                <w:rFonts w:ascii="Aptos" w:hAnsi="Aptos" w:cs="Segoe UI"/>
                <w:b/>
                <w:bCs/>
                <w:sz w:val="22"/>
                <w:szCs w:val="22"/>
              </w:rPr>
              <w:t>Monitoring</w:t>
            </w:r>
          </w:p>
        </w:tc>
        <w:tc>
          <w:tcPr>
            <w:tcW w:w="6657" w:type="dxa"/>
          </w:tcPr>
          <w:p w14:paraId="7D091C2C" w14:textId="77777777" w:rsidR="0A615D2F" w:rsidRPr="0033450D" w:rsidRDefault="0A615D2F" w:rsidP="0A615D2F">
            <w:pPr>
              <w:rPr>
                <w:rFonts w:ascii="Aptos" w:hAnsi="Aptos" w:cs="Segoe UI"/>
                <w:sz w:val="22"/>
                <w:szCs w:val="22"/>
              </w:rPr>
            </w:pPr>
            <w:r w:rsidRPr="0033450D">
              <w:rPr>
                <w:rFonts w:ascii="Aptos" w:hAnsi="Aptos" w:cs="Segoe UI"/>
                <w:sz w:val="22"/>
                <w:szCs w:val="22"/>
              </w:rPr>
              <w:t xml:space="preserve">Annual review in line with on-campus provision to ensure </w:t>
            </w:r>
            <w:proofErr w:type="spellStart"/>
            <w:r w:rsidRPr="0033450D">
              <w:rPr>
                <w:rFonts w:ascii="Aptos" w:hAnsi="Aptos" w:cs="Segoe UI"/>
                <w:sz w:val="22"/>
                <w:szCs w:val="22"/>
              </w:rPr>
              <w:t>OfS</w:t>
            </w:r>
            <w:proofErr w:type="spellEnd"/>
            <w:r w:rsidRPr="0033450D">
              <w:rPr>
                <w:rFonts w:ascii="Aptos" w:hAnsi="Aptos" w:cs="Segoe UI"/>
                <w:sz w:val="22"/>
                <w:szCs w:val="22"/>
              </w:rPr>
              <w:t xml:space="preserve"> B metrics, and sustainability of appropriate facilities </w:t>
            </w:r>
          </w:p>
        </w:tc>
      </w:tr>
      <w:tr w:rsidR="0A615D2F" w:rsidRPr="007B71A7" w14:paraId="4FA962E3" w14:textId="77777777" w:rsidTr="00FB2D48">
        <w:trPr>
          <w:trHeight w:val="306"/>
        </w:trPr>
        <w:tc>
          <w:tcPr>
            <w:tcW w:w="3146" w:type="dxa"/>
          </w:tcPr>
          <w:p w14:paraId="66F1BCBB" w14:textId="77777777" w:rsidR="0A615D2F" w:rsidRPr="0033450D" w:rsidRDefault="0A615D2F" w:rsidP="0A615D2F">
            <w:pPr>
              <w:rPr>
                <w:rFonts w:ascii="Aptos" w:hAnsi="Aptos" w:cs="Segoe UI"/>
                <w:sz w:val="22"/>
                <w:szCs w:val="22"/>
              </w:rPr>
            </w:pPr>
            <w:r w:rsidRPr="0033450D">
              <w:rPr>
                <w:rFonts w:ascii="Aptos" w:hAnsi="Aptos" w:cs="Segoe UI"/>
                <w:b/>
                <w:bCs/>
                <w:sz w:val="22"/>
                <w:szCs w:val="22"/>
              </w:rPr>
              <w:t>Overall risk level</w:t>
            </w:r>
          </w:p>
        </w:tc>
        <w:tc>
          <w:tcPr>
            <w:tcW w:w="6657" w:type="dxa"/>
          </w:tcPr>
          <w:p w14:paraId="67088CEC" w14:textId="77777777" w:rsidR="0A615D2F" w:rsidRPr="0033450D" w:rsidRDefault="0A615D2F" w:rsidP="0A615D2F">
            <w:pPr>
              <w:rPr>
                <w:rFonts w:ascii="Aptos" w:hAnsi="Aptos" w:cs="Segoe UI"/>
                <w:sz w:val="22"/>
                <w:szCs w:val="22"/>
              </w:rPr>
            </w:pPr>
            <w:r w:rsidRPr="0033450D">
              <w:rPr>
                <w:rFonts w:ascii="Aptos" w:hAnsi="Aptos" w:cs="Segoe UI"/>
                <w:sz w:val="22"/>
                <w:szCs w:val="22"/>
              </w:rPr>
              <w:t>High</w:t>
            </w:r>
          </w:p>
        </w:tc>
      </w:tr>
    </w:tbl>
    <w:p w14:paraId="4F22FC67" w14:textId="3612A335" w:rsidR="0A615D2F" w:rsidRPr="0033450D" w:rsidRDefault="0A615D2F" w:rsidP="0A615D2F">
      <w:pPr>
        <w:rPr>
          <w:rFonts w:ascii="Aptos" w:hAnsi="Aptos" w:cs="Segoe UI"/>
          <w:b/>
          <w:bCs/>
          <w:sz w:val="22"/>
          <w:szCs w:val="22"/>
        </w:rPr>
      </w:pPr>
    </w:p>
    <w:p w14:paraId="1D86F7FD" w14:textId="1D2AF6BE" w:rsidR="0A615D2F" w:rsidRPr="0033450D" w:rsidRDefault="0A615D2F" w:rsidP="0A615D2F">
      <w:pPr>
        <w:rPr>
          <w:rFonts w:ascii="Aptos" w:hAnsi="Aptos" w:cs="Segoe UI"/>
          <w:b/>
          <w:bCs/>
          <w:sz w:val="22"/>
          <w:szCs w:val="22"/>
        </w:rPr>
      </w:pPr>
    </w:p>
    <w:p w14:paraId="1B9160ED" w14:textId="77777777" w:rsidR="006A23E9" w:rsidRPr="0033450D" w:rsidRDefault="006A23E9">
      <w:pPr>
        <w:rPr>
          <w:rFonts w:ascii="Aptos" w:hAnsi="Aptos" w:cs="Segoe UI"/>
          <w:b/>
          <w:bCs/>
          <w:sz w:val="22"/>
          <w:szCs w:val="22"/>
        </w:rPr>
      </w:pPr>
      <w:r w:rsidRPr="0033450D">
        <w:rPr>
          <w:rFonts w:ascii="Aptos" w:hAnsi="Aptos" w:cs="Segoe UI"/>
          <w:b/>
          <w:bCs/>
          <w:sz w:val="22"/>
          <w:szCs w:val="22"/>
        </w:rPr>
        <w:br w:type="page"/>
      </w:r>
    </w:p>
    <w:p w14:paraId="7446769B" w14:textId="0B5CCB55" w:rsidR="005D5121" w:rsidRPr="00306EA7" w:rsidRDefault="005D5121" w:rsidP="001545CB">
      <w:pPr>
        <w:pStyle w:val="Heading3"/>
      </w:pPr>
      <w:bookmarkStart w:id="7" w:name="_Toc233884398"/>
      <w:r w:rsidRPr="00306EA7">
        <w:lastRenderedPageBreak/>
        <w:t>Contribution of Expert Resources</w:t>
      </w:r>
      <w:bookmarkEnd w:id="7"/>
    </w:p>
    <w:p w14:paraId="31E3B6AE" w14:textId="77777777" w:rsidR="00306EA7" w:rsidRDefault="00306EA7" w:rsidP="005D5121">
      <w:pPr>
        <w:spacing w:before="81"/>
        <w:ind w:right="-20"/>
        <w:rPr>
          <w:rFonts w:ascii="Aptos" w:hAnsi="Aptos" w:cs="Segoe UI"/>
          <w:sz w:val="22"/>
          <w:szCs w:val="22"/>
        </w:rPr>
      </w:pPr>
    </w:p>
    <w:p w14:paraId="432D172B" w14:textId="77777777" w:rsidR="001545CB" w:rsidRDefault="005D5121" w:rsidP="005D5121">
      <w:pPr>
        <w:spacing w:before="81"/>
        <w:ind w:right="-20"/>
        <w:rPr>
          <w:rFonts w:ascii="Aptos" w:hAnsi="Aptos" w:cs="Segoe UI"/>
          <w:sz w:val="22"/>
          <w:szCs w:val="22"/>
        </w:rPr>
      </w:pPr>
      <w:r w:rsidRPr="0033450D">
        <w:rPr>
          <w:rFonts w:ascii="Aptos" w:hAnsi="Aptos" w:cs="Segoe UI"/>
          <w:sz w:val="22"/>
          <w:szCs w:val="22"/>
        </w:rPr>
        <w:t xml:space="preserve">Birkbeck contracts in expert resources to deliver and assess </w:t>
      </w:r>
      <w:r w:rsidR="17747A97" w:rsidRPr="400717B7">
        <w:rPr>
          <w:rFonts w:ascii="Aptos" w:hAnsi="Aptos" w:cs="Segoe UI"/>
          <w:sz w:val="22"/>
          <w:szCs w:val="22"/>
        </w:rPr>
        <w:t xml:space="preserve">elements of </w:t>
      </w:r>
      <w:r w:rsidRPr="0033450D">
        <w:rPr>
          <w:rFonts w:ascii="Aptos" w:hAnsi="Aptos" w:cs="Segoe UI"/>
          <w:sz w:val="22"/>
          <w:szCs w:val="22"/>
        </w:rPr>
        <w:t>a programme that is designed by the College and leads to a Birkbeck</w:t>
      </w:r>
      <w:r w:rsidR="30AB7C83" w:rsidRPr="400717B7">
        <w:rPr>
          <w:rFonts w:ascii="Aptos" w:hAnsi="Aptos" w:cs="Segoe UI"/>
          <w:sz w:val="22"/>
          <w:szCs w:val="22"/>
        </w:rPr>
        <w:t xml:space="preserve">, </w:t>
      </w:r>
      <w:proofErr w:type="spellStart"/>
      <w:r w:rsidR="00A13EAB" w:rsidRPr="400717B7">
        <w:rPr>
          <w:rFonts w:ascii="Aptos" w:hAnsi="Aptos" w:cs="Segoe UI"/>
          <w:sz w:val="22"/>
          <w:szCs w:val="22"/>
        </w:rPr>
        <w:t>UoL</w:t>
      </w:r>
      <w:proofErr w:type="spellEnd"/>
      <w:r w:rsidR="00A13EAB" w:rsidRPr="400717B7">
        <w:rPr>
          <w:rFonts w:ascii="Aptos" w:hAnsi="Aptos" w:cs="Segoe UI"/>
          <w:sz w:val="22"/>
          <w:szCs w:val="22"/>
        </w:rPr>
        <w:t xml:space="preserve"> </w:t>
      </w:r>
      <w:r w:rsidR="00A13EAB" w:rsidRPr="0033450D">
        <w:rPr>
          <w:rFonts w:ascii="Aptos" w:hAnsi="Aptos" w:cs="Segoe UI"/>
          <w:sz w:val="22"/>
          <w:szCs w:val="22"/>
        </w:rPr>
        <w:t>award</w:t>
      </w:r>
      <w:r w:rsidRPr="0033450D">
        <w:rPr>
          <w:rFonts w:ascii="Aptos" w:hAnsi="Aptos" w:cs="Segoe UI"/>
          <w:sz w:val="22"/>
          <w:szCs w:val="22"/>
        </w:rPr>
        <w:t>. Partner resources may include subject expert knowledge in the design stage, technical skills experts in the delivery stage or access to specialist equipment or facilities throughout the programme.</w:t>
      </w:r>
    </w:p>
    <w:p w14:paraId="4E410A80" w14:textId="05DB2528" w:rsidR="005D5121" w:rsidRPr="0033450D" w:rsidRDefault="005D5121" w:rsidP="005D5121">
      <w:pPr>
        <w:spacing w:before="81"/>
        <w:ind w:right="-20"/>
        <w:rPr>
          <w:rFonts w:ascii="Aptos" w:hAnsi="Aptos" w:cs="Segoe UI"/>
          <w:sz w:val="22"/>
          <w:szCs w:val="22"/>
        </w:rPr>
      </w:pPr>
      <w:r w:rsidRPr="0033450D">
        <w:rPr>
          <w:rFonts w:ascii="Aptos" w:hAnsi="Aptos" w:cs="Segoe UI"/>
          <w:sz w:val="22"/>
          <w:szCs w:val="22"/>
        </w:rPr>
        <w:t>This Partnership Agreement is different to the franchise and/or validation</w:t>
      </w:r>
      <w:r w:rsidRPr="400717B7">
        <w:rPr>
          <w:rFonts w:ascii="Aptos" w:hAnsi="Aptos" w:cs="Segoe UI"/>
          <w:sz w:val="22"/>
          <w:szCs w:val="22"/>
        </w:rPr>
        <w:t xml:space="preserve"> </w:t>
      </w:r>
      <w:r w:rsidR="73E7D57E" w:rsidRPr="400717B7">
        <w:rPr>
          <w:rFonts w:ascii="Aptos" w:hAnsi="Aptos" w:cs="Segoe UI"/>
          <w:sz w:val="22"/>
          <w:szCs w:val="22"/>
        </w:rPr>
        <w:t>models</w:t>
      </w:r>
      <w:r w:rsidR="1CBF5E62" w:rsidRPr="0033450D">
        <w:rPr>
          <w:rFonts w:ascii="Aptos" w:hAnsi="Aptos" w:cs="Segoe UI"/>
          <w:sz w:val="22"/>
          <w:szCs w:val="22"/>
        </w:rPr>
        <w:t xml:space="preserve"> </w:t>
      </w:r>
      <w:r w:rsidRPr="0033450D">
        <w:rPr>
          <w:rFonts w:ascii="Aptos" w:hAnsi="Aptos" w:cs="Segoe UI"/>
          <w:sz w:val="22"/>
          <w:szCs w:val="22"/>
        </w:rPr>
        <w:t xml:space="preserve">as Birkbeck registered students </w:t>
      </w:r>
      <w:r w:rsidR="3B1E4AFA" w:rsidRPr="400717B7">
        <w:rPr>
          <w:rFonts w:ascii="Aptos" w:hAnsi="Aptos" w:cs="Segoe UI"/>
          <w:sz w:val="22"/>
          <w:szCs w:val="22"/>
        </w:rPr>
        <w:t xml:space="preserve">receive </w:t>
      </w:r>
      <w:r w:rsidR="7A0E7398" w:rsidRPr="400717B7">
        <w:rPr>
          <w:rFonts w:ascii="Aptos" w:hAnsi="Aptos" w:cs="Segoe UI"/>
          <w:sz w:val="22"/>
          <w:szCs w:val="22"/>
        </w:rPr>
        <w:t xml:space="preserve">more than </w:t>
      </w:r>
      <w:r w:rsidRPr="0033450D">
        <w:rPr>
          <w:rFonts w:ascii="Aptos" w:hAnsi="Aptos" w:cs="Segoe UI"/>
          <w:sz w:val="22"/>
          <w:szCs w:val="22"/>
        </w:rPr>
        <w:t>50% of their teaching, learning and assessment at Birkbeck premises</w:t>
      </w:r>
      <w:r w:rsidR="3B1E4AFA" w:rsidRPr="400717B7">
        <w:rPr>
          <w:rFonts w:ascii="Aptos" w:hAnsi="Aptos" w:cs="Segoe UI"/>
          <w:sz w:val="22"/>
          <w:szCs w:val="22"/>
        </w:rPr>
        <w:t xml:space="preserve"> from Birkbeck staff</w:t>
      </w:r>
      <w:r w:rsidR="1CBF5E62" w:rsidRPr="0033450D">
        <w:rPr>
          <w:rFonts w:ascii="Aptos" w:hAnsi="Aptos" w:cs="Segoe UI"/>
          <w:sz w:val="22"/>
          <w:szCs w:val="22"/>
        </w:rPr>
        <w:t xml:space="preserve">. </w:t>
      </w:r>
      <w:r w:rsidR="22238A87" w:rsidRPr="400717B7">
        <w:rPr>
          <w:rFonts w:ascii="Aptos" w:hAnsi="Aptos" w:cs="Segoe UI"/>
          <w:sz w:val="22"/>
          <w:szCs w:val="22"/>
        </w:rPr>
        <w:t>Where</w:t>
      </w:r>
      <w:r w:rsidRPr="400717B7">
        <w:rPr>
          <w:rFonts w:ascii="Aptos" w:hAnsi="Aptos" w:cs="Segoe UI"/>
          <w:sz w:val="22"/>
          <w:szCs w:val="22"/>
        </w:rPr>
        <w:t xml:space="preserve"> </w:t>
      </w:r>
      <w:r w:rsidRPr="0033450D">
        <w:rPr>
          <w:rFonts w:ascii="Aptos" w:hAnsi="Aptos" w:cs="Segoe UI"/>
          <w:sz w:val="22"/>
          <w:szCs w:val="22"/>
        </w:rPr>
        <w:t xml:space="preserve">50% or more delivered </w:t>
      </w:r>
      <w:r w:rsidR="19103F56" w:rsidRPr="0033450D">
        <w:rPr>
          <w:rFonts w:ascii="Aptos" w:hAnsi="Aptos" w:cs="Segoe UI"/>
          <w:sz w:val="22"/>
          <w:szCs w:val="22"/>
        </w:rPr>
        <w:t xml:space="preserve">of the provision is delivered </w:t>
      </w:r>
      <w:r w:rsidRPr="0033450D">
        <w:rPr>
          <w:rFonts w:ascii="Aptos" w:hAnsi="Aptos" w:cs="Segoe UI"/>
          <w:sz w:val="22"/>
          <w:szCs w:val="22"/>
        </w:rPr>
        <w:t>by partner</w:t>
      </w:r>
      <w:r w:rsidR="672A2B39" w:rsidRPr="0033450D">
        <w:rPr>
          <w:rFonts w:ascii="Aptos" w:hAnsi="Aptos" w:cs="Segoe UI"/>
          <w:sz w:val="22"/>
          <w:szCs w:val="22"/>
        </w:rPr>
        <w:t xml:space="preserve">, </w:t>
      </w:r>
      <w:r w:rsidR="58F4329E" w:rsidRPr="0033450D">
        <w:rPr>
          <w:rFonts w:ascii="Aptos" w:hAnsi="Aptos" w:cs="Segoe UI"/>
          <w:sz w:val="22"/>
          <w:szCs w:val="22"/>
        </w:rPr>
        <w:t>this becomes a franchise/subcontract relationship as</w:t>
      </w:r>
      <w:r w:rsidRPr="0033450D">
        <w:rPr>
          <w:rFonts w:ascii="Aptos" w:hAnsi="Aptos" w:cs="Segoe UI"/>
          <w:sz w:val="22"/>
          <w:szCs w:val="22"/>
        </w:rPr>
        <w:t xml:space="preserve"> informed by </w:t>
      </w:r>
      <w:hyperlink r:id="rId11">
        <w:r w:rsidRPr="0033450D">
          <w:rPr>
            <w:rStyle w:val="Hyperlink"/>
            <w:rFonts w:ascii="Aptos" w:hAnsi="Aptos" w:cs="Segoe UI"/>
            <w:sz w:val="22"/>
            <w:szCs w:val="22"/>
          </w:rPr>
          <w:t>DFE</w:t>
        </w:r>
      </w:hyperlink>
      <w:r w:rsidRPr="0033450D">
        <w:rPr>
          <w:rFonts w:ascii="Aptos" w:hAnsi="Aptos" w:cs="Segoe UI"/>
          <w:sz w:val="22"/>
          <w:szCs w:val="22"/>
        </w:rPr>
        <w:t xml:space="preserve"> and </w:t>
      </w:r>
      <w:hyperlink r:id="rId12">
        <w:proofErr w:type="spellStart"/>
        <w:r w:rsidRPr="0033450D">
          <w:rPr>
            <w:rStyle w:val="Hyperlink"/>
            <w:rFonts w:ascii="Aptos" w:hAnsi="Aptos" w:cs="Segoe UI"/>
            <w:sz w:val="22"/>
            <w:szCs w:val="22"/>
          </w:rPr>
          <w:t>OfS</w:t>
        </w:r>
        <w:proofErr w:type="spellEnd"/>
      </w:hyperlink>
      <w:r w:rsidRPr="0033450D">
        <w:rPr>
          <w:rFonts w:ascii="Aptos" w:hAnsi="Aptos" w:cs="Segoe UI"/>
          <w:sz w:val="22"/>
          <w:szCs w:val="22"/>
        </w:rPr>
        <w:t xml:space="preserve"> published principles.</w:t>
      </w:r>
    </w:p>
    <w:p w14:paraId="303CA372" w14:textId="77777777" w:rsidR="005D5121" w:rsidRPr="0033450D" w:rsidRDefault="005D5121" w:rsidP="005D5121">
      <w:pPr>
        <w:rPr>
          <w:rFonts w:ascii="Aptos" w:hAnsi="Aptos" w:cs="Segoe UI"/>
          <w:b/>
          <w:bCs/>
          <w:sz w:val="22"/>
          <w:szCs w:val="22"/>
        </w:rPr>
      </w:pPr>
    </w:p>
    <w:tbl>
      <w:tblPr>
        <w:tblStyle w:val="TableGrid"/>
        <w:tblW w:w="0" w:type="auto"/>
        <w:tblLook w:val="04A0" w:firstRow="1" w:lastRow="0" w:firstColumn="1" w:lastColumn="0" w:noHBand="0" w:noVBand="1"/>
      </w:tblPr>
      <w:tblGrid>
        <w:gridCol w:w="3405"/>
        <w:gridCol w:w="6443"/>
      </w:tblGrid>
      <w:tr w:rsidR="005D5121" w:rsidRPr="007B71A7" w14:paraId="26F6FAC8" w14:textId="77777777" w:rsidTr="00FB2D48">
        <w:trPr>
          <w:trHeight w:val="307"/>
        </w:trPr>
        <w:tc>
          <w:tcPr>
            <w:tcW w:w="3405" w:type="dxa"/>
          </w:tcPr>
          <w:p w14:paraId="2157292D" w14:textId="77777777" w:rsidR="005D5121" w:rsidRPr="0033450D" w:rsidRDefault="005D5121">
            <w:pPr>
              <w:rPr>
                <w:rFonts w:ascii="Aptos" w:hAnsi="Aptos" w:cs="Segoe UI"/>
                <w:b/>
                <w:bCs/>
                <w:sz w:val="22"/>
                <w:szCs w:val="22"/>
              </w:rPr>
            </w:pPr>
            <w:r w:rsidRPr="0033450D">
              <w:rPr>
                <w:rFonts w:ascii="Aptos" w:hAnsi="Aptos" w:cs="Segoe UI"/>
                <w:b/>
                <w:bCs/>
                <w:sz w:val="22"/>
                <w:szCs w:val="22"/>
              </w:rPr>
              <w:t>Responsibility</w:t>
            </w:r>
          </w:p>
          <w:p w14:paraId="27D3783E" w14:textId="77777777" w:rsidR="005D5121" w:rsidRPr="0033450D" w:rsidRDefault="005D5121">
            <w:pPr>
              <w:rPr>
                <w:rFonts w:ascii="Aptos" w:hAnsi="Aptos" w:cs="Segoe UI"/>
                <w:sz w:val="22"/>
                <w:szCs w:val="22"/>
              </w:rPr>
            </w:pPr>
          </w:p>
        </w:tc>
        <w:tc>
          <w:tcPr>
            <w:tcW w:w="6443" w:type="dxa"/>
          </w:tcPr>
          <w:p w14:paraId="76B8B4A4" w14:textId="77777777" w:rsidR="005D5121" w:rsidRPr="0033450D" w:rsidRDefault="005D5121">
            <w:pPr>
              <w:rPr>
                <w:rFonts w:ascii="Aptos" w:hAnsi="Aptos" w:cs="Segoe UI"/>
                <w:b/>
                <w:bCs/>
                <w:sz w:val="22"/>
                <w:szCs w:val="22"/>
              </w:rPr>
            </w:pPr>
            <w:r w:rsidRPr="0033450D">
              <w:rPr>
                <w:rFonts w:ascii="Aptos" w:hAnsi="Aptos" w:cs="Segoe UI"/>
                <w:b/>
                <w:bCs/>
                <w:sz w:val="22"/>
                <w:szCs w:val="22"/>
              </w:rPr>
              <w:t>Approach</w:t>
            </w:r>
          </w:p>
        </w:tc>
      </w:tr>
      <w:tr w:rsidR="005D5121" w:rsidRPr="007B71A7" w14:paraId="169F44A9" w14:textId="77777777" w:rsidTr="00FB2D48">
        <w:trPr>
          <w:trHeight w:val="307"/>
        </w:trPr>
        <w:tc>
          <w:tcPr>
            <w:tcW w:w="3405" w:type="dxa"/>
          </w:tcPr>
          <w:p w14:paraId="6BFF803A" w14:textId="77777777" w:rsidR="005D5121" w:rsidRPr="0033450D" w:rsidRDefault="005D5121">
            <w:pPr>
              <w:rPr>
                <w:rFonts w:ascii="Aptos" w:hAnsi="Aptos" w:cs="Segoe UI"/>
                <w:sz w:val="22"/>
                <w:szCs w:val="22"/>
              </w:rPr>
            </w:pPr>
            <w:r w:rsidRPr="0033450D">
              <w:rPr>
                <w:rFonts w:ascii="Aptos" w:hAnsi="Aptos" w:cs="Segoe UI"/>
                <w:b/>
                <w:bCs/>
                <w:sz w:val="22"/>
                <w:szCs w:val="22"/>
              </w:rPr>
              <w:t>Programme Intellectual Property</w:t>
            </w:r>
          </w:p>
        </w:tc>
        <w:tc>
          <w:tcPr>
            <w:tcW w:w="6443" w:type="dxa"/>
          </w:tcPr>
          <w:p w14:paraId="43E72C67" w14:textId="77777777" w:rsidR="005D5121" w:rsidRPr="0033450D" w:rsidRDefault="005D5121">
            <w:pPr>
              <w:rPr>
                <w:rFonts w:ascii="Aptos" w:hAnsi="Aptos" w:cs="Segoe UI"/>
                <w:b/>
                <w:bCs/>
                <w:sz w:val="22"/>
                <w:szCs w:val="22"/>
              </w:rPr>
            </w:pPr>
            <w:r w:rsidRPr="0033450D">
              <w:rPr>
                <w:rFonts w:ascii="Aptos" w:hAnsi="Aptos" w:cs="Segoe UI"/>
                <w:sz w:val="22"/>
                <w:szCs w:val="22"/>
              </w:rPr>
              <w:t xml:space="preserve">Birkbeck </w:t>
            </w:r>
          </w:p>
        </w:tc>
      </w:tr>
      <w:tr w:rsidR="005D5121" w:rsidRPr="007B71A7" w14:paraId="4868A458" w14:textId="77777777" w:rsidTr="00FB2D48">
        <w:trPr>
          <w:trHeight w:val="307"/>
        </w:trPr>
        <w:tc>
          <w:tcPr>
            <w:tcW w:w="3405" w:type="dxa"/>
          </w:tcPr>
          <w:p w14:paraId="7719C7AE" w14:textId="77777777" w:rsidR="005D5121" w:rsidRPr="0033450D" w:rsidRDefault="005D5121">
            <w:pPr>
              <w:rPr>
                <w:rFonts w:ascii="Aptos" w:hAnsi="Aptos" w:cs="Segoe UI"/>
                <w:sz w:val="22"/>
                <w:szCs w:val="22"/>
              </w:rPr>
            </w:pPr>
            <w:r w:rsidRPr="0033450D">
              <w:rPr>
                <w:rFonts w:ascii="Aptos" w:hAnsi="Aptos" w:cs="Segoe UI"/>
                <w:b/>
                <w:bCs/>
                <w:sz w:val="22"/>
                <w:szCs w:val="22"/>
              </w:rPr>
              <w:t>Programme Delivery and Assessment</w:t>
            </w:r>
          </w:p>
        </w:tc>
        <w:tc>
          <w:tcPr>
            <w:tcW w:w="6443" w:type="dxa"/>
          </w:tcPr>
          <w:p w14:paraId="330E5892" w14:textId="116011AF" w:rsidR="005D5121" w:rsidRPr="0033450D" w:rsidRDefault="005D5121">
            <w:pPr>
              <w:rPr>
                <w:rFonts w:ascii="Aptos" w:hAnsi="Aptos" w:cs="Segoe UI"/>
                <w:sz w:val="22"/>
                <w:szCs w:val="22"/>
              </w:rPr>
            </w:pPr>
            <w:r w:rsidRPr="0033450D">
              <w:rPr>
                <w:rFonts w:ascii="Aptos" w:hAnsi="Aptos" w:cs="Segoe UI"/>
                <w:sz w:val="22"/>
                <w:szCs w:val="22"/>
              </w:rPr>
              <w:t>Birkbeck (</w:t>
            </w:r>
            <w:r w:rsidR="40A4E6EB" w:rsidRPr="0033450D">
              <w:rPr>
                <w:rFonts w:ascii="Aptos" w:hAnsi="Aptos" w:cs="Segoe UI"/>
                <w:sz w:val="22"/>
                <w:szCs w:val="22"/>
              </w:rPr>
              <w:t xml:space="preserve">more than </w:t>
            </w:r>
            <w:r w:rsidRPr="0033450D">
              <w:rPr>
                <w:rFonts w:ascii="Aptos" w:hAnsi="Aptos" w:cs="Segoe UI"/>
                <w:sz w:val="22"/>
                <w:szCs w:val="22"/>
              </w:rPr>
              <w:t xml:space="preserve">50% of total course delivery hours) and Partner for specialist resources </w:t>
            </w:r>
          </w:p>
        </w:tc>
      </w:tr>
      <w:tr w:rsidR="005D5121" w:rsidRPr="007B71A7" w14:paraId="0796BABD" w14:textId="77777777" w:rsidTr="00FB2D48">
        <w:trPr>
          <w:trHeight w:val="307"/>
        </w:trPr>
        <w:tc>
          <w:tcPr>
            <w:tcW w:w="3405" w:type="dxa"/>
          </w:tcPr>
          <w:p w14:paraId="71758C7F" w14:textId="77777777" w:rsidR="005D5121" w:rsidRPr="0033450D" w:rsidRDefault="005D5121">
            <w:pPr>
              <w:rPr>
                <w:rFonts w:ascii="Aptos" w:hAnsi="Aptos" w:cs="Segoe UI"/>
                <w:sz w:val="22"/>
                <w:szCs w:val="22"/>
              </w:rPr>
            </w:pPr>
            <w:r w:rsidRPr="0033450D">
              <w:rPr>
                <w:rFonts w:ascii="Aptos" w:hAnsi="Aptos" w:cs="Segoe UI"/>
                <w:b/>
                <w:bCs/>
                <w:sz w:val="22"/>
                <w:szCs w:val="22"/>
              </w:rPr>
              <w:t>Award</w:t>
            </w:r>
          </w:p>
        </w:tc>
        <w:tc>
          <w:tcPr>
            <w:tcW w:w="6443" w:type="dxa"/>
          </w:tcPr>
          <w:p w14:paraId="459BDDBF" w14:textId="77777777" w:rsidR="005D5121" w:rsidRPr="0033450D" w:rsidRDefault="005D5121">
            <w:pPr>
              <w:rPr>
                <w:rFonts w:ascii="Aptos" w:hAnsi="Aptos" w:cs="Segoe UI"/>
                <w:sz w:val="22"/>
                <w:szCs w:val="22"/>
              </w:rPr>
            </w:pPr>
            <w:r w:rsidRPr="0033450D">
              <w:rPr>
                <w:rFonts w:ascii="Aptos" w:hAnsi="Aptos" w:cs="Segoe UI"/>
                <w:sz w:val="22"/>
                <w:szCs w:val="22"/>
              </w:rPr>
              <w:t>Birkbeck</w:t>
            </w:r>
          </w:p>
        </w:tc>
      </w:tr>
      <w:tr w:rsidR="005D5121" w:rsidRPr="007B71A7" w14:paraId="47DB0275" w14:textId="77777777" w:rsidTr="00FB2D48">
        <w:trPr>
          <w:trHeight w:val="307"/>
        </w:trPr>
        <w:tc>
          <w:tcPr>
            <w:tcW w:w="3405" w:type="dxa"/>
          </w:tcPr>
          <w:p w14:paraId="3C8689AD" w14:textId="77777777" w:rsidR="005D5121" w:rsidRPr="0033450D" w:rsidRDefault="005D5121">
            <w:pPr>
              <w:rPr>
                <w:rFonts w:ascii="Aptos" w:hAnsi="Aptos" w:cs="Segoe UI"/>
                <w:sz w:val="22"/>
                <w:szCs w:val="22"/>
              </w:rPr>
            </w:pPr>
            <w:r w:rsidRPr="0033450D">
              <w:rPr>
                <w:rFonts w:ascii="Aptos" w:hAnsi="Aptos" w:cs="Segoe UI"/>
                <w:b/>
                <w:bCs/>
                <w:sz w:val="22"/>
                <w:szCs w:val="22"/>
              </w:rPr>
              <w:t>Academic regulations and policies</w:t>
            </w:r>
          </w:p>
        </w:tc>
        <w:tc>
          <w:tcPr>
            <w:tcW w:w="6443" w:type="dxa"/>
          </w:tcPr>
          <w:p w14:paraId="105C815A" w14:textId="77777777" w:rsidR="005D5121" w:rsidRPr="0033450D" w:rsidRDefault="005D5121">
            <w:pPr>
              <w:rPr>
                <w:rFonts w:ascii="Aptos" w:hAnsi="Aptos" w:cs="Segoe UI"/>
                <w:sz w:val="22"/>
                <w:szCs w:val="22"/>
              </w:rPr>
            </w:pPr>
            <w:r w:rsidRPr="0033450D">
              <w:rPr>
                <w:rFonts w:ascii="Aptos" w:hAnsi="Aptos" w:cs="Segoe UI"/>
                <w:sz w:val="22"/>
                <w:szCs w:val="22"/>
              </w:rPr>
              <w:t>Birkbeck</w:t>
            </w:r>
          </w:p>
        </w:tc>
      </w:tr>
      <w:tr w:rsidR="005D5121" w:rsidRPr="007B71A7" w14:paraId="73621076" w14:textId="77777777" w:rsidTr="00FB2D48">
        <w:trPr>
          <w:trHeight w:val="307"/>
        </w:trPr>
        <w:tc>
          <w:tcPr>
            <w:tcW w:w="3405" w:type="dxa"/>
          </w:tcPr>
          <w:p w14:paraId="37FA1527" w14:textId="77777777" w:rsidR="005D5121" w:rsidRPr="0033450D" w:rsidRDefault="005D5121">
            <w:pPr>
              <w:rPr>
                <w:rFonts w:ascii="Aptos" w:hAnsi="Aptos" w:cs="Segoe UI"/>
                <w:b/>
                <w:bCs/>
                <w:sz w:val="22"/>
                <w:szCs w:val="22"/>
              </w:rPr>
            </w:pPr>
            <w:r w:rsidRPr="0033450D">
              <w:rPr>
                <w:rFonts w:ascii="Aptos" w:hAnsi="Aptos" w:cs="Segoe UI"/>
                <w:b/>
                <w:bCs/>
                <w:sz w:val="22"/>
                <w:szCs w:val="22"/>
              </w:rPr>
              <w:t>Student contractual relationship</w:t>
            </w:r>
          </w:p>
        </w:tc>
        <w:tc>
          <w:tcPr>
            <w:tcW w:w="6443" w:type="dxa"/>
          </w:tcPr>
          <w:p w14:paraId="100A3A0F" w14:textId="77777777" w:rsidR="005D5121" w:rsidRPr="0033450D" w:rsidRDefault="005D5121">
            <w:pPr>
              <w:rPr>
                <w:rFonts w:ascii="Aptos" w:hAnsi="Aptos" w:cs="Segoe UI"/>
                <w:sz w:val="22"/>
                <w:szCs w:val="22"/>
              </w:rPr>
            </w:pPr>
            <w:r w:rsidRPr="0033450D">
              <w:rPr>
                <w:rFonts w:ascii="Aptos" w:hAnsi="Aptos" w:cs="Segoe UI"/>
                <w:sz w:val="22"/>
                <w:szCs w:val="22"/>
              </w:rPr>
              <w:t xml:space="preserve">UK – Birkbeck </w:t>
            </w:r>
          </w:p>
        </w:tc>
      </w:tr>
      <w:tr w:rsidR="005D5121" w:rsidRPr="007B71A7" w14:paraId="522FBB74" w14:textId="77777777" w:rsidTr="00FB2D48">
        <w:trPr>
          <w:trHeight w:val="307"/>
        </w:trPr>
        <w:tc>
          <w:tcPr>
            <w:tcW w:w="3405" w:type="dxa"/>
          </w:tcPr>
          <w:p w14:paraId="141E75DB" w14:textId="77777777" w:rsidR="005D5121" w:rsidRPr="0033450D" w:rsidRDefault="005D5121">
            <w:pPr>
              <w:rPr>
                <w:rFonts w:ascii="Aptos" w:hAnsi="Aptos" w:cs="Segoe UI"/>
                <w:sz w:val="22"/>
                <w:szCs w:val="22"/>
              </w:rPr>
            </w:pPr>
            <w:r w:rsidRPr="0033450D">
              <w:rPr>
                <w:rFonts w:ascii="Aptos" w:hAnsi="Aptos" w:cs="Segoe UI"/>
                <w:b/>
                <w:bCs/>
                <w:sz w:val="22"/>
                <w:szCs w:val="22"/>
              </w:rPr>
              <w:t>Student Protection Plan</w:t>
            </w:r>
          </w:p>
        </w:tc>
        <w:tc>
          <w:tcPr>
            <w:tcW w:w="6443" w:type="dxa"/>
          </w:tcPr>
          <w:p w14:paraId="6F9C171E" w14:textId="77777777" w:rsidR="005D5121" w:rsidRPr="0033450D" w:rsidRDefault="005D5121">
            <w:pPr>
              <w:rPr>
                <w:rFonts w:ascii="Aptos" w:hAnsi="Aptos" w:cs="Segoe UI"/>
                <w:sz w:val="22"/>
                <w:szCs w:val="22"/>
              </w:rPr>
            </w:pPr>
            <w:r w:rsidRPr="0033450D">
              <w:rPr>
                <w:rFonts w:ascii="Aptos" w:hAnsi="Aptos" w:cs="Segoe UI"/>
                <w:sz w:val="22"/>
                <w:szCs w:val="22"/>
              </w:rPr>
              <w:t>UK – Birkbeck</w:t>
            </w:r>
          </w:p>
        </w:tc>
      </w:tr>
      <w:tr w:rsidR="005D5121" w:rsidRPr="007B71A7" w14:paraId="668F7EF5" w14:textId="77777777" w:rsidTr="00FB2D48">
        <w:trPr>
          <w:trHeight w:val="307"/>
        </w:trPr>
        <w:tc>
          <w:tcPr>
            <w:tcW w:w="3405" w:type="dxa"/>
          </w:tcPr>
          <w:p w14:paraId="0C373E2A" w14:textId="77777777" w:rsidR="005D5121" w:rsidRPr="0033450D" w:rsidRDefault="005D5121">
            <w:pPr>
              <w:rPr>
                <w:rFonts w:ascii="Aptos" w:hAnsi="Aptos" w:cs="Segoe UI"/>
                <w:sz w:val="22"/>
                <w:szCs w:val="22"/>
              </w:rPr>
            </w:pPr>
            <w:r w:rsidRPr="0033450D">
              <w:rPr>
                <w:rFonts w:ascii="Aptos" w:hAnsi="Aptos" w:cs="Segoe UI"/>
                <w:b/>
                <w:bCs/>
                <w:sz w:val="22"/>
                <w:szCs w:val="22"/>
              </w:rPr>
              <w:t>Birkbeck approval process</w:t>
            </w:r>
          </w:p>
        </w:tc>
        <w:tc>
          <w:tcPr>
            <w:tcW w:w="6443" w:type="dxa"/>
          </w:tcPr>
          <w:p w14:paraId="3E588FC0" w14:textId="77777777" w:rsidR="005D5121" w:rsidRPr="0033450D" w:rsidRDefault="005D5121">
            <w:pPr>
              <w:rPr>
                <w:rFonts w:ascii="Aptos" w:hAnsi="Aptos" w:cs="Segoe UI"/>
                <w:sz w:val="22"/>
                <w:szCs w:val="22"/>
              </w:rPr>
            </w:pPr>
            <w:r w:rsidRPr="0033450D">
              <w:rPr>
                <w:rFonts w:ascii="Aptos" w:hAnsi="Aptos" w:cs="Segoe UI"/>
                <w:sz w:val="22"/>
                <w:szCs w:val="22"/>
              </w:rPr>
              <w:t>Stage 0, 1 and 2 apply</w:t>
            </w:r>
          </w:p>
        </w:tc>
      </w:tr>
      <w:tr w:rsidR="005D5121" w:rsidRPr="007B71A7" w14:paraId="07DBFB6E" w14:textId="77777777" w:rsidTr="00FB2D48">
        <w:trPr>
          <w:trHeight w:val="307"/>
        </w:trPr>
        <w:tc>
          <w:tcPr>
            <w:tcW w:w="3405" w:type="dxa"/>
          </w:tcPr>
          <w:p w14:paraId="2A065E6A" w14:textId="77777777" w:rsidR="005D5121" w:rsidRPr="0033450D" w:rsidRDefault="005D5121">
            <w:pPr>
              <w:rPr>
                <w:rFonts w:ascii="Aptos" w:hAnsi="Aptos" w:cs="Segoe UI"/>
                <w:sz w:val="22"/>
                <w:szCs w:val="22"/>
              </w:rPr>
            </w:pPr>
            <w:r w:rsidRPr="0033450D">
              <w:rPr>
                <w:rFonts w:ascii="Aptos" w:hAnsi="Aptos" w:cs="Segoe UI"/>
                <w:b/>
                <w:bCs/>
                <w:sz w:val="22"/>
                <w:szCs w:val="22"/>
              </w:rPr>
              <w:t xml:space="preserve">Birkbeck focus </w:t>
            </w:r>
            <w:proofErr w:type="gramStart"/>
            <w:r w:rsidRPr="0033450D">
              <w:rPr>
                <w:rFonts w:ascii="Aptos" w:hAnsi="Aptos" w:cs="Segoe UI"/>
                <w:b/>
                <w:bCs/>
                <w:sz w:val="22"/>
                <w:szCs w:val="22"/>
              </w:rPr>
              <w:t>in</w:t>
            </w:r>
            <w:proofErr w:type="gramEnd"/>
            <w:r w:rsidRPr="0033450D">
              <w:rPr>
                <w:rFonts w:ascii="Aptos" w:hAnsi="Aptos" w:cs="Segoe UI"/>
                <w:b/>
                <w:bCs/>
                <w:sz w:val="22"/>
                <w:szCs w:val="22"/>
              </w:rPr>
              <w:t xml:space="preserve"> the Stage 1 process</w:t>
            </w:r>
          </w:p>
        </w:tc>
        <w:tc>
          <w:tcPr>
            <w:tcW w:w="6443" w:type="dxa"/>
          </w:tcPr>
          <w:p w14:paraId="5160C114" w14:textId="77777777" w:rsidR="005D5121" w:rsidRPr="0033450D" w:rsidRDefault="005D5121">
            <w:pPr>
              <w:rPr>
                <w:rFonts w:ascii="Aptos" w:hAnsi="Aptos" w:cs="Segoe UI"/>
                <w:sz w:val="22"/>
                <w:szCs w:val="22"/>
              </w:rPr>
            </w:pPr>
            <w:r w:rsidRPr="0033450D">
              <w:rPr>
                <w:rFonts w:ascii="Aptos" w:hAnsi="Aptos" w:cs="Segoe UI"/>
                <w:sz w:val="22"/>
                <w:szCs w:val="22"/>
              </w:rPr>
              <w:t>The qualifications of staff, the student support and the learning resources available at the partner</w:t>
            </w:r>
          </w:p>
        </w:tc>
      </w:tr>
      <w:tr w:rsidR="005D5121" w:rsidRPr="007B71A7" w14:paraId="5C296086" w14:textId="77777777" w:rsidTr="00FB2D48">
        <w:trPr>
          <w:trHeight w:val="307"/>
        </w:trPr>
        <w:tc>
          <w:tcPr>
            <w:tcW w:w="3405" w:type="dxa"/>
          </w:tcPr>
          <w:p w14:paraId="1D49524D" w14:textId="77777777" w:rsidR="005D5121" w:rsidRPr="0033450D" w:rsidRDefault="005D5121">
            <w:pPr>
              <w:rPr>
                <w:rFonts w:ascii="Aptos" w:hAnsi="Aptos" w:cs="Segoe UI"/>
                <w:sz w:val="22"/>
                <w:szCs w:val="22"/>
              </w:rPr>
            </w:pPr>
            <w:r w:rsidRPr="0033450D">
              <w:rPr>
                <w:rFonts w:ascii="Aptos" w:hAnsi="Aptos" w:cs="Segoe UI"/>
                <w:b/>
                <w:bCs/>
                <w:sz w:val="22"/>
                <w:szCs w:val="22"/>
              </w:rPr>
              <w:t>Student data and statutory returns</w:t>
            </w:r>
          </w:p>
        </w:tc>
        <w:tc>
          <w:tcPr>
            <w:tcW w:w="6443" w:type="dxa"/>
          </w:tcPr>
          <w:p w14:paraId="20E71550" w14:textId="77777777" w:rsidR="005D5121" w:rsidRPr="0033450D" w:rsidRDefault="005D5121">
            <w:pPr>
              <w:rPr>
                <w:rFonts w:ascii="Aptos" w:hAnsi="Aptos" w:cs="Segoe UI"/>
                <w:sz w:val="22"/>
                <w:szCs w:val="22"/>
              </w:rPr>
            </w:pPr>
            <w:r w:rsidRPr="0033450D">
              <w:rPr>
                <w:rFonts w:ascii="Aptos" w:hAnsi="Aptos" w:cs="Segoe UI"/>
                <w:sz w:val="22"/>
                <w:szCs w:val="22"/>
              </w:rPr>
              <w:t>Birkbeck</w:t>
            </w:r>
          </w:p>
        </w:tc>
      </w:tr>
      <w:tr w:rsidR="005D5121" w:rsidRPr="007B71A7" w14:paraId="2B0C4BDA" w14:textId="77777777" w:rsidTr="00FB2D48">
        <w:trPr>
          <w:trHeight w:val="307"/>
        </w:trPr>
        <w:tc>
          <w:tcPr>
            <w:tcW w:w="3405" w:type="dxa"/>
          </w:tcPr>
          <w:p w14:paraId="3A68D2F1" w14:textId="77777777" w:rsidR="005D5121" w:rsidRPr="0033450D" w:rsidRDefault="005D5121">
            <w:pPr>
              <w:rPr>
                <w:rFonts w:ascii="Aptos" w:hAnsi="Aptos" w:cs="Segoe UI"/>
                <w:b/>
                <w:bCs/>
                <w:sz w:val="22"/>
                <w:szCs w:val="22"/>
              </w:rPr>
            </w:pPr>
            <w:r w:rsidRPr="0033450D">
              <w:rPr>
                <w:rFonts w:ascii="Aptos" w:hAnsi="Aptos" w:cs="Segoe UI"/>
                <w:b/>
                <w:bCs/>
                <w:sz w:val="22"/>
                <w:szCs w:val="22"/>
              </w:rPr>
              <w:t>Monitoring</w:t>
            </w:r>
          </w:p>
        </w:tc>
        <w:tc>
          <w:tcPr>
            <w:tcW w:w="6443" w:type="dxa"/>
          </w:tcPr>
          <w:p w14:paraId="62712E5B" w14:textId="77777777" w:rsidR="005D5121" w:rsidRPr="0033450D" w:rsidRDefault="005D5121">
            <w:pPr>
              <w:rPr>
                <w:rFonts w:ascii="Aptos" w:hAnsi="Aptos" w:cs="Segoe UI"/>
                <w:sz w:val="22"/>
                <w:szCs w:val="22"/>
              </w:rPr>
            </w:pPr>
            <w:r w:rsidRPr="0033450D">
              <w:rPr>
                <w:rFonts w:ascii="Aptos" w:hAnsi="Aptos" w:cs="Segoe UI"/>
                <w:sz w:val="22"/>
                <w:szCs w:val="22"/>
              </w:rPr>
              <w:t>Annual review as part of all Birkbeck on-campus provision, and ongoing appropriateness and sustainability of technical and specialist resources.</w:t>
            </w:r>
          </w:p>
        </w:tc>
      </w:tr>
      <w:tr w:rsidR="005D5121" w:rsidRPr="007B71A7" w14:paraId="3B043D9D" w14:textId="77777777" w:rsidTr="00FB2D48">
        <w:trPr>
          <w:trHeight w:val="307"/>
        </w:trPr>
        <w:tc>
          <w:tcPr>
            <w:tcW w:w="3405" w:type="dxa"/>
          </w:tcPr>
          <w:p w14:paraId="11C6A82A" w14:textId="77777777" w:rsidR="005D5121" w:rsidRPr="0033450D" w:rsidRDefault="005D5121">
            <w:pPr>
              <w:rPr>
                <w:rFonts w:ascii="Aptos" w:hAnsi="Aptos" w:cs="Segoe UI"/>
                <w:sz w:val="22"/>
                <w:szCs w:val="22"/>
              </w:rPr>
            </w:pPr>
            <w:r w:rsidRPr="0033450D">
              <w:rPr>
                <w:rFonts w:ascii="Aptos" w:hAnsi="Aptos" w:cs="Segoe UI"/>
                <w:b/>
                <w:bCs/>
                <w:sz w:val="22"/>
                <w:szCs w:val="22"/>
              </w:rPr>
              <w:t>Overall risk level</w:t>
            </w:r>
          </w:p>
        </w:tc>
        <w:tc>
          <w:tcPr>
            <w:tcW w:w="6443" w:type="dxa"/>
          </w:tcPr>
          <w:p w14:paraId="0D2E0F0E" w14:textId="77777777" w:rsidR="005D5121" w:rsidRPr="0033450D" w:rsidRDefault="005D5121">
            <w:pPr>
              <w:rPr>
                <w:rFonts w:ascii="Aptos" w:hAnsi="Aptos" w:cs="Segoe UI"/>
                <w:sz w:val="22"/>
                <w:szCs w:val="22"/>
              </w:rPr>
            </w:pPr>
            <w:r w:rsidRPr="0033450D">
              <w:rPr>
                <w:rFonts w:ascii="Aptos" w:hAnsi="Aptos" w:cs="Segoe UI"/>
                <w:sz w:val="22"/>
                <w:szCs w:val="22"/>
              </w:rPr>
              <w:t>Low/Medium</w:t>
            </w:r>
          </w:p>
        </w:tc>
      </w:tr>
    </w:tbl>
    <w:p w14:paraId="5744B2D1" w14:textId="3FF733A8" w:rsidR="006A23E9" w:rsidRDefault="006A23E9" w:rsidP="00CF4897">
      <w:pPr>
        <w:rPr>
          <w:rFonts w:ascii="Aptos" w:hAnsi="Aptos" w:cs="Segoe UI"/>
          <w:b/>
          <w:bCs/>
          <w:sz w:val="22"/>
          <w:szCs w:val="22"/>
        </w:rPr>
      </w:pPr>
    </w:p>
    <w:p w14:paraId="609B3878" w14:textId="77777777" w:rsidR="00CF4897" w:rsidRDefault="00CF4897" w:rsidP="00CF4897">
      <w:pPr>
        <w:rPr>
          <w:rFonts w:ascii="Aptos" w:hAnsi="Aptos" w:cs="Segoe UI"/>
          <w:b/>
          <w:bCs/>
          <w:sz w:val="22"/>
          <w:szCs w:val="22"/>
        </w:rPr>
      </w:pPr>
    </w:p>
    <w:p w14:paraId="483BF269" w14:textId="77777777" w:rsidR="00CF4897" w:rsidRDefault="00CF4897" w:rsidP="00CF4897">
      <w:pPr>
        <w:rPr>
          <w:rFonts w:ascii="Aptos" w:hAnsi="Aptos" w:cs="Segoe UI"/>
          <w:b/>
          <w:bCs/>
          <w:sz w:val="22"/>
          <w:szCs w:val="22"/>
        </w:rPr>
      </w:pPr>
    </w:p>
    <w:p w14:paraId="5AAE3F3C" w14:textId="77777777" w:rsidR="00CF4897" w:rsidRDefault="00CF4897" w:rsidP="00CF4897">
      <w:pPr>
        <w:rPr>
          <w:rFonts w:ascii="Aptos" w:hAnsi="Aptos" w:cs="Segoe UI"/>
          <w:b/>
          <w:bCs/>
          <w:sz w:val="22"/>
          <w:szCs w:val="22"/>
        </w:rPr>
      </w:pPr>
    </w:p>
    <w:p w14:paraId="1B86B3D3" w14:textId="77777777" w:rsidR="00CF4897" w:rsidRDefault="00CF4897" w:rsidP="00CF4897">
      <w:pPr>
        <w:rPr>
          <w:rFonts w:ascii="Aptos" w:hAnsi="Aptos" w:cs="Segoe UI"/>
          <w:b/>
          <w:bCs/>
          <w:sz w:val="22"/>
          <w:szCs w:val="22"/>
        </w:rPr>
      </w:pPr>
    </w:p>
    <w:p w14:paraId="5F2A5CBC" w14:textId="77777777" w:rsidR="00CF4897" w:rsidRDefault="00CF4897" w:rsidP="00CF4897">
      <w:pPr>
        <w:rPr>
          <w:rFonts w:ascii="Aptos" w:hAnsi="Aptos" w:cs="Segoe UI"/>
          <w:b/>
          <w:bCs/>
          <w:sz w:val="22"/>
          <w:szCs w:val="22"/>
        </w:rPr>
      </w:pPr>
    </w:p>
    <w:p w14:paraId="11D066BB" w14:textId="77777777" w:rsidR="00CF4897" w:rsidRDefault="00CF4897" w:rsidP="00CF4897">
      <w:pPr>
        <w:rPr>
          <w:rFonts w:ascii="Aptos" w:hAnsi="Aptos" w:cs="Segoe UI"/>
          <w:b/>
          <w:bCs/>
          <w:sz w:val="22"/>
          <w:szCs w:val="22"/>
        </w:rPr>
      </w:pPr>
    </w:p>
    <w:p w14:paraId="257D36E6" w14:textId="77777777" w:rsidR="00CF4897" w:rsidRPr="00CF4897" w:rsidRDefault="00CF4897" w:rsidP="00CF4897">
      <w:pPr>
        <w:rPr>
          <w:rFonts w:ascii="Aptos" w:hAnsi="Aptos" w:cs="Segoe UI"/>
          <w:b/>
          <w:bCs/>
          <w:sz w:val="22"/>
          <w:szCs w:val="22"/>
        </w:rPr>
      </w:pPr>
    </w:p>
    <w:p w14:paraId="1ACB26D3" w14:textId="77777777" w:rsidR="00FB2D48" w:rsidRDefault="00FB2D48">
      <w:pPr>
        <w:rPr>
          <w:rFonts w:asciiTheme="majorHAnsi" w:eastAsiaTheme="majorEastAsia" w:hAnsiTheme="majorHAnsi" w:cstheme="majorBidi"/>
          <w:b/>
          <w:bCs/>
          <w:color w:val="2F5496" w:themeColor="accent1" w:themeShade="BF"/>
          <w:sz w:val="32"/>
          <w:szCs w:val="32"/>
        </w:rPr>
      </w:pPr>
      <w:r>
        <w:rPr>
          <w:b/>
          <w:bCs/>
        </w:rPr>
        <w:br w:type="page"/>
      </w:r>
    </w:p>
    <w:p w14:paraId="3761E3F9" w14:textId="1FF7B44C" w:rsidR="00BB618A" w:rsidRPr="00CF4897" w:rsidRDefault="00BB618A" w:rsidP="001545CB">
      <w:pPr>
        <w:pStyle w:val="Heading2"/>
      </w:pPr>
      <w:bookmarkStart w:id="8" w:name="_Toc233884399"/>
      <w:r w:rsidRPr="00CF4897">
        <w:lastRenderedPageBreak/>
        <w:t xml:space="preserve">Collaboration </w:t>
      </w:r>
      <w:r w:rsidR="001461DE">
        <w:t>a</w:t>
      </w:r>
      <w:r w:rsidRPr="00CF4897">
        <w:t>rrangements</w:t>
      </w:r>
      <w:bookmarkEnd w:id="8"/>
    </w:p>
    <w:p w14:paraId="52DD7D37" w14:textId="77777777" w:rsidR="00CF4897" w:rsidRPr="00CF4897" w:rsidRDefault="00CF4897" w:rsidP="00CF4897"/>
    <w:p w14:paraId="71E61835" w14:textId="01C84E69" w:rsidR="004A5A49" w:rsidRPr="00306EA7" w:rsidRDefault="004A5A49" w:rsidP="001545CB">
      <w:pPr>
        <w:pStyle w:val="Heading3"/>
      </w:pPr>
      <w:bookmarkStart w:id="9" w:name="_Toc233884400"/>
      <w:r w:rsidRPr="00306EA7">
        <w:t>Articulation</w:t>
      </w:r>
      <w:bookmarkEnd w:id="9"/>
    </w:p>
    <w:p w14:paraId="044AEC1B" w14:textId="77777777" w:rsidR="00306EA7" w:rsidRPr="00306EA7" w:rsidRDefault="00306EA7" w:rsidP="00306EA7"/>
    <w:p w14:paraId="233BA6C3" w14:textId="77777777" w:rsidR="004A5A49" w:rsidRPr="0033450D" w:rsidRDefault="004A5A49" w:rsidP="004A5A49">
      <w:pPr>
        <w:rPr>
          <w:rFonts w:ascii="Aptos" w:hAnsi="Aptos" w:cs="Segoe UI"/>
          <w:sz w:val="22"/>
          <w:szCs w:val="22"/>
        </w:rPr>
      </w:pPr>
      <w:r w:rsidRPr="0033450D">
        <w:rPr>
          <w:rFonts w:ascii="Aptos" w:hAnsi="Aptos" w:cs="Segoe UI"/>
          <w:sz w:val="22"/>
          <w:szCs w:val="22"/>
        </w:rPr>
        <w:t xml:space="preserve">Students studying on, and successful achievement of, a programme offered by the partner are guaranteed entry to a specified Birkbeck programme, at a specified entry point, if they meet academic criteria that Birkbeck has agreed with the partner. </w:t>
      </w:r>
    </w:p>
    <w:p w14:paraId="427943E8" w14:textId="77777777" w:rsidR="004A5A49" w:rsidRPr="0033450D" w:rsidRDefault="004A5A49" w:rsidP="004A5A49">
      <w:pPr>
        <w:rPr>
          <w:rFonts w:ascii="Aptos" w:hAnsi="Aptos" w:cs="Segoe UI"/>
          <w:sz w:val="22"/>
          <w:szCs w:val="22"/>
        </w:rPr>
      </w:pPr>
    </w:p>
    <w:tbl>
      <w:tblPr>
        <w:tblStyle w:val="TableGrid"/>
        <w:tblW w:w="9721" w:type="dxa"/>
        <w:tblLook w:val="04A0" w:firstRow="1" w:lastRow="0" w:firstColumn="1" w:lastColumn="0" w:noHBand="0" w:noVBand="1"/>
      </w:tblPr>
      <w:tblGrid>
        <w:gridCol w:w="2845"/>
        <w:gridCol w:w="6876"/>
      </w:tblGrid>
      <w:tr w:rsidR="004A5A49" w:rsidRPr="007B71A7" w14:paraId="06CF3110" w14:textId="77777777" w:rsidTr="00FB2D48">
        <w:trPr>
          <w:trHeight w:val="496"/>
          <w:tblHeader/>
        </w:trPr>
        <w:tc>
          <w:tcPr>
            <w:tcW w:w="2845" w:type="dxa"/>
            <w:shd w:val="pct12" w:color="auto" w:fill="auto"/>
          </w:tcPr>
          <w:p w14:paraId="412EF68B" w14:textId="77777777" w:rsidR="004A5A49" w:rsidRPr="0033450D" w:rsidRDefault="004A5A49">
            <w:pPr>
              <w:rPr>
                <w:rFonts w:ascii="Aptos" w:hAnsi="Aptos" w:cs="Segoe UI"/>
                <w:b/>
                <w:bCs/>
                <w:sz w:val="22"/>
                <w:szCs w:val="22"/>
              </w:rPr>
            </w:pPr>
            <w:r w:rsidRPr="0033450D">
              <w:rPr>
                <w:rFonts w:ascii="Aptos" w:hAnsi="Aptos" w:cs="Segoe UI"/>
                <w:b/>
                <w:bCs/>
                <w:sz w:val="22"/>
                <w:szCs w:val="22"/>
              </w:rPr>
              <w:t>Responsibility</w:t>
            </w:r>
          </w:p>
          <w:p w14:paraId="41B5157A" w14:textId="77777777" w:rsidR="004A5A49" w:rsidRPr="0033450D" w:rsidRDefault="004A5A49">
            <w:pPr>
              <w:rPr>
                <w:rFonts w:ascii="Aptos" w:hAnsi="Aptos" w:cs="Segoe UI"/>
                <w:b/>
                <w:bCs/>
                <w:sz w:val="22"/>
                <w:szCs w:val="22"/>
              </w:rPr>
            </w:pPr>
          </w:p>
        </w:tc>
        <w:tc>
          <w:tcPr>
            <w:tcW w:w="6876" w:type="dxa"/>
            <w:shd w:val="pct12" w:color="auto" w:fill="auto"/>
          </w:tcPr>
          <w:p w14:paraId="5B05C123" w14:textId="77777777" w:rsidR="004A5A49" w:rsidRPr="0033450D" w:rsidRDefault="004A5A49">
            <w:pPr>
              <w:rPr>
                <w:rFonts w:ascii="Aptos" w:hAnsi="Aptos" w:cs="Segoe UI"/>
                <w:b/>
                <w:bCs/>
                <w:sz w:val="22"/>
                <w:szCs w:val="22"/>
              </w:rPr>
            </w:pPr>
            <w:r w:rsidRPr="0033450D">
              <w:rPr>
                <w:rFonts w:ascii="Aptos" w:hAnsi="Aptos" w:cs="Segoe UI"/>
                <w:b/>
                <w:bCs/>
                <w:sz w:val="22"/>
                <w:szCs w:val="22"/>
              </w:rPr>
              <w:t>Approach</w:t>
            </w:r>
          </w:p>
        </w:tc>
      </w:tr>
      <w:tr w:rsidR="004A5A49" w:rsidRPr="007B71A7" w14:paraId="60376B35" w14:textId="77777777" w:rsidTr="00FB2D48">
        <w:trPr>
          <w:trHeight w:val="754"/>
        </w:trPr>
        <w:tc>
          <w:tcPr>
            <w:tcW w:w="2845" w:type="dxa"/>
          </w:tcPr>
          <w:p w14:paraId="5599E204" w14:textId="77777777" w:rsidR="004A5A49" w:rsidRPr="0033450D" w:rsidRDefault="004A5A49">
            <w:pPr>
              <w:rPr>
                <w:rFonts w:ascii="Aptos" w:hAnsi="Aptos" w:cs="Segoe UI"/>
                <w:sz w:val="22"/>
                <w:szCs w:val="22"/>
              </w:rPr>
            </w:pPr>
            <w:r w:rsidRPr="0033450D">
              <w:rPr>
                <w:rFonts w:ascii="Aptos" w:hAnsi="Aptos" w:cs="Segoe UI"/>
                <w:b/>
                <w:bCs/>
                <w:sz w:val="22"/>
                <w:szCs w:val="22"/>
              </w:rPr>
              <w:t>Programme Intellectual Property</w:t>
            </w:r>
          </w:p>
        </w:tc>
        <w:tc>
          <w:tcPr>
            <w:tcW w:w="6876" w:type="dxa"/>
          </w:tcPr>
          <w:p w14:paraId="0B809DEE" w14:textId="77777777" w:rsidR="004A5A49" w:rsidRPr="0033450D" w:rsidRDefault="004A5A49">
            <w:pPr>
              <w:rPr>
                <w:rFonts w:ascii="Aptos" w:hAnsi="Aptos" w:cs="Segoe UI"/>
                <w:sz w:val="22"/>
                <w:szCs w:val="22"/>
              </w:rPr>
            </w:pPr>
            <w:r w:rsidRPr="0033450D">
              <w:rPr>
                <w:rFonts w:ascii="Aptos" w:hAnsi="Aptos" w:cs="Segoe UI"/>
                <w:sz w:val="22"/>
                <w:szCs w:val="22"/>
              </w:rPr>
              <w:t>Birkbeck and the partner each design their own programme and therefore own the respective intellectual property. Birkbeck would own the intellectual property of the partner’s programme if it was designed by Birkbeck and franchised (at Year 0 only) to the partner</w:t>
            </w:r>
          </w:p>
        </w:tc>
      </w:tr>
      <w:tr w:rsidR="004A5A49" w:rsidRPr="007B71A7" w14:paraId="537B99D8" w14:textId="77777777" w:rsidTr="00FB2D48">
        <w:trPr>
          <w:trHeight w:val="248"/>
        </w:trPr>
        <w:tc>
          <w:tcPr>
            <w:tcW w:w="2845" w:type="dxa"/>
          </w:tcPr>
          <w:p w14:paraId="4918AF7D" w14:textId="77777777" w:rsidR="004A5A49" w:rsidRPr="0033450D" w:rsidRDefault="004A5A49">
            <w:pPr>
              <w:rPr>
                <w:rFonts w:ascii="Aptos" w:hAnsi="Aptos" w:cs="Segoe UI"/>
                <w:sz w:val="22"/>
                <w:szCs w:val="22"/>
              </w:rPr>
            </w:pPr>
            <w:r w:rsidRPr="0033450D">
              <w:rPr>
                <w:rFonts w:ascii="Aptos" w:hAnsi="Aptos" w:cs="Segoe UI"/>
                <w:b/>
                <w:bCs/>
                <w:sz w:val="22"/>
                <w:szCs w:val="22"/>
              </w:rPr>
              <w:t>Programme Delivery and Assessment</w:t>
            </w:r>
          </w:p>
        </w:tc>
        <w:tc>
          <w:tcPr>
            <w:tcW w:w="6876" w:type="dxa"/>
          </w:tcPr>
          <w:p w14:paraId="53112314" w14:textId="77777777" w:rsidR="004A5A49" w:rsidRPr="0033450D" w:rsidRDefault="004A5A49">
            <w:pPr>
              <w:rPr>
                <w:rFonts w:ascii="Aptos" w:hAnsi="Aptos" w:cs="Segoe UI"/>
                <w:sz w:val="22"/>
                <w:szCs w:val="22"/>
              </w:rPr>
            </w:pPr>
            <w:r w:rsidRPr="0033450D">
              <w:rPr>
                <w:rFonts w:ascii="Aptos" w:hAnsi="Aptos" w:cs="Segoe UI"/>
                <w:sz w:val="22"/>
                <w:szCs w:val="22"/>
              </w:rPr>
              <w:t xml:space="preserve">Birkbeck does not have a role in the delivery of the partner’s programme </w:t>
            </w:r>
          </w:p>
        </w:tc>
      </w:tr>
      <w:tr w:rsidR="004A5A49" w:rsidRPr="007B71A7" w14:paraId="372DDE7D" w14:textId="77777777" w:rsidTr="00FB2D48">
        <w:trPr>
          <w:trHeight w:val="754"/>
        </w:trPr>
        <w:tc>
          <w:tcPr>
            <w:tcW w:w="2845" w:type="dxa"/>
          </w:tcPr>
          <w:p w14:paraId="47C9DCAB" w14:textId="77777777" w:rsidR="004A5A49" w:rsidRPr="0033450D" w:rsidRDefault="004A5A49">
            <w:pPr>
              <w:rPr>
                <w:rFonts w:ascii="Aptos" w:hAnsi="Aptos" w:cs="Segoe UI"/>
                <w:sz w:val="22"/>
                <w:szCs w:val="22"/>
              </w:rPr>
            </w:pPr>
            <w:r w:rsidRPr="0033450D">
              <w:rPr>
                <w:rFonts w:ascii="Aptos" w:hAnsi="Aptos" w:cs="Segoe UI"/>
                <w:b/>
                <w:bCs/>
                <w:sz w:val="22"/>
                <w:szCs w:val="22"/>
              </w:rPr>
              <w:t>Award</w:t>
            </w:r>
          </w:p>
        </w:tc>
        <w:tc>
          <w:tcPr>
            <w:tcW w:w="6876" w:type="dxa"/>
          </w:tcPr>
          <w:p w14:paraId="262366DC" w14:textId="77777777" w:rsidR="004A5A49" w:rsidRPr="0033450D" w:rsidRDefault="004A5A49">
            <w:pPr>
              <w:rPr>
                <w:rFonts w:ascii="Aptos" w:hAnsi="Aptos" w:cs="Segoe UI"/>
                <w:sz w:val="22"/>
                <w:szCs w:val="22"/>
              </w:rPr>
            </w:pPr>
            <w:r w:rsidRPr="0033450D">
              <w:rPr>
                <w:rFonts w:ascii="Aptos" w:hAnsi="Aptos" w:cs="Segoe UI"/>
                <w:sz w:val="22"/>
                <w:szCs w:val="22"/>
              </w:rPr>
              <w:t>Birkbeck does not make an award where a student successfully completes the partner’s programme. It does make an award where the student successfully completes the Birkbeck programme they have entered.</w:t>
            </w:r>
          </w:p>
        </w:tc>
      </w:tr>
      <w:tr w:rsidR="004A5A49" w:rsidRPr="007B71A7" w14:paraId="1A8A9EF7" w14:textId="77777777" w:rsidTr="00FB2D48">
        <w:trPr>
          <w:trHeight w:val="496"/>
        </w:trPr>
        <w:tc>
          <w:tcPr>
            <w:tcW w:w="2845" w:type="dxa"/>
          </w:tcPr>
          <w:p w14:paraId="75BD2FB5" w14:textId="77777777" w:rsidR="004A5A49" w:rsidRPr="0033450D" w:rsidRDefault="004A5A49">
            <w:pPr>
              <w:rPr>
                <w:rFonts w:ascii="Aptos" w:hAnsi="Aptos" w:cs="Segoe UI"/>
                <w:sz w:val="22"/>
                <w:szCs w:val="22"/>
              </w:rPr>
            </w:pPr>
            <w:r w:rsidRPr="0033450D">
              <w:rPr>
                <w:rFonts w:ascii="Aptos" w:hAnsi="Aptos" w:cs="Segoe UI"/>
                <w:b/>
                <w:bCs/>
                <w:sz w:val="22"/>
                <w:szCs w:val="22"/>
              </w:rPr>
              <w:t>Academic regulations and policies</w:t>
            </w:r>
          </w:p>
        </w:tc>
        <w:tc>
          <w:tcPr>
            <w:tcW w:w="6876" w:type="dxa"/>
          </w:tcPr>
          <w:p w14:paraId="75DC2BD6" w14:textId="77777777" w:rsidR="004A5A49" w:rsidRPr="0033450D" w:rsidRDefault="004A5A49">
            <w:pPr>
              <w:rPr>
                <w:rFonts w:ascii="Aptos" w:hAnsi="Aptos" w:cs="Segoe UI"/>
                <w:sz w:val="22"/>
                <w:szCs w:val="22"/>
              </w:rPr>
            </w:pPr>
            <w:r w:rsidRPr="0033450D">
              <w:rPr>
                <w:rFonts w:ascii="Aptos" w:hAnsi="Aptos" w:cs="Segoe UI"/>
                <w:sz w:val="22"/>
                <w:szCs w:val="22"/>
              </w:rPr>
              <w:t>Birkbeck academic regulations and policies do not apply to the programme offered by the partner. They do apply to the programme to which students articulate at Birkbeck</w:t>
            </w:r>
          </w:p>
        </w:tc>
      </w:tr>
      <w:tr w:rsidR="004A5A49" w:rsidRPr="007B71A7" w14:paraId="3B50F98E" w14:textId="77777777" w:rsidTr="00FB2D48">
        <w:trPr>
          <w:trHeight w:val="248"/>
        </w:trPr>
        <w:tc>
          <w:tcPr>
            <w:tcW w:w="2845" w:type="dxa"/>
          </w:tcPr>
          <w:p w14:paraId="530124B3" w14:textId="77777777" w:rsidR="004A5A49" w:rsidRPr="0033450D" w:rsidRDefault="004A5A49">
            <w:pPr>
              <w:rPr>
                <w:rFonts w:ascii="Aptos" w:hAnsi="Aptos" w:cs="Segoe UI"/>
                <w:b/>
                <w:bCs/>
                <w:sz w:val="22"/>
                <w:szCs w:val="22"/>
              </w:rPr>
            </w:pPr>
            <w:r w:rsidRPr="0033450D">
              <w:rPr>
                <w:rFonts w:ascii="Aptos" w:hAnsi="Aptos" w:cs="Segoe UI"/>
                <w:b/>
                <w:bCs/>
                <w:sz w:val="22"/>
                <w:szCs w:val="22"/>
              </w:rPr>
              <w:t>Student contractual relationship</w:t>
            </w:r>
          </w:p>
        </w:tc>
        <w:tc>
          <w:tcPr>
            <w:tcW w:w="6876" w:type="dxa"/>
          </w:tcPr>
          <w:p w14:paraId="6DE9BEFE" w14:textId="77777777" w:rsidR="004A5A49" w:rsidRPr="0033450D" w:rsidRDefault="004A5A49">
            <w:pPr>
              <w:rPr>
                <w:rFonts w:ascii="Aptos" w:hAnsi="Aptos" w:cs="Segoe UI"/>
                <w:sz w:val="22"/>
                <w:szCs w:val="22"/>
              </w:rPr>
            </w:pPr>
            <w:r w:rsidRPr="0033450D">
              <w:rPr>
                <w:rFonts w:ascii="Aptos" w:hAnsi="Aptos" w:cs="Segoe UI"/>
                <w:sz w:val="22"/>
                <w:szCs w:val="22"/>
              </w:rPr>
              <w:t>Partner on original programme and Birkbeck when commencing on Birkbeck programme</w:t>
            </w:r>
          </w:p>
        </w:tc>
      </w:tr>
      <w:tr w:rsidR="004A5A49" w:rsidRPr="007B71A7" w14:paraId="0C15779C" w14:textId="77777777" w:rsidTr="00FB2D48">
        <w:trPr>
          <w:trHeight w:val="506"/>
        </w:trPr>
        <w:tc>
          <w:tcPr>
            <w:tcW w:w="2845" w:type="dxa"/>
          </w:tcPr>
          <w:p w14:paraId="2C8289FD" w14:textId="77777777" w:rsidR="004A5A49" w:rsidRPr="0033450D" w:rsidRDefault="004A5A49">
            <w:pPr>
              <w:rPr>
                <w:rFonts w:ascii="Aptos" w:hAnsi="Aptos" w:cs="Segoe UI"/>
                <w:sz w:val="22"/>
                <w:szCs w:val="22"/>
              </w:rPr>
            </w:pPr>
            <w:r w:rsidRPr="0033450D">
              <w:rPr>
                <w:rFonts w:ascii="Aptos" w:hAnsi="Aptos" w:cs="Segoe UI"/>
                <w:b/>
                <w:bCs/>
                <w:sz w:val="22"/>
                <w:szCs w:val="22"/>
              </w:rPr>
              <w:t>Student Protection Plan</w:t>
            </w:r>
          </w:p>
        </w:tc>
        <w:tc>
          <w:tcPr>
            <w:tcW w:w="6876" w:type="dxa"/>
          </w:tcPr>
          <w:p w14:paraId="26F47ABD" w14:textId="77777777" w:rsidR="004A5A49" w:rsidRPr="0033450D" w:rsidRDefault="004A5A49">
            <w:pPr>
              <w:rPr>
                <w:rFonts w:ascii="Aptos" w:hAnsi="Aptos" w:cs="Segoe UI"/>
                <w:sz w:val="22"/>
                <w:szCs w:val="22"/>
              </w:rPr>
            </w:pPr>
            <w:r w:rsidRPr="0033450D">
              <w:rPr>
                <w:rFonts w:ascii="Aptos" w:hAnsi="Aptos" w:cs="Segoe UI"/>
                <w:sz w:val="22"/>
                <w:szCs w:val="22"/>
              </w:rPr>
              <w:t>If the Birkbeck programme to which the students plan to articulate was to be terminated or phased out, Birkbeck must work with the partner to ensure that students are given notice of this change</w:t>
            </w:r>
          </w:p>
        </w:tc>
      </w:tr>
      <w:tr w:rsidR="004A5A49" w:rsidRPr="007B71A7" w14:paraId="717FE171" w14:textId="77777777" w:rsidTr="00FB2D48">
        <w:trPr>
          <w:trHeight w:val="248"/>
        </w:trPr>
        <w:tc>
          <w:tcPr>
            <w:tcW w:w="2845" w:type="dxa"/>
          </w:tcPr>
          <w:p w14:paraId="2E9A5212" w14:textId="77777777" w:rsidR="004A5A49" w:rsidRPr="0033450D" w:rsidRDefault="004A5A49">
            <w:pPr>
              <w:rPr>
                <w:rFonts w:ascii="Aptos" w:hAnsi="Aptos" w:cs="Segoe UI"/>
                <w:sz w:val="22"/>
                <w:szCs w:val="22"/>
              </w:rPr>
            </w:pPr>
            <w:r w:rsidRPr="0033450D">
              <w:rPr>
                <w:rFonts w:ascii="Aptos" w:hAnsi="Aptos" w:cs="Segoe UI"/>
                <w:b/>
                <w:bCs/>
                <w:sz w:val="22"/>
                <w:szCs w:val="22"/>
              </w:rPr>
              <w:t>Birkbeck approval process</w:t>
            </w:r>
          </w:p>
        </w:tc>
        <w:tc>
          <w:tcPr>
            <w:tcW w:w="6876" w:type="dxa"/>
          </w:tcPr>
          <w:p w14:paraId="714B516E" w14:textId="77777777" w:rsidR="004A5A49" w:rsidRPr="0033450D" w:rsidRDefault="004A5A49">
            <w:pPr>
              <w:rPr>
                <w:rFonts w:ascii="Aptos" w:hAnsi="Aptos" w:cs="Segoe UI"/>
                <w:sz w:val="22"/>
                <w:szCs w:val="22"/>
              </w:rPr>
            </w:pPr>
            <w:r w:rsidRPr="0033450D">
              <w:rPr>
                <w:rFonts w:ascii="Aptos" w:hAnsi="Aptos" w:cs="Segoe UI"/>
                <w:sz w:val="22"/>
                <w:szCs w:val="22"/>
              </w:rPr>
              <w:t>Stage 0, 1 and 2 processes apply</w:t>
            </w:r>
          </w:p>
        </w:tc>
      </w:tr>
      <w:tr w:rsidR="004A5A49" w:rsidRPr="007B71A7" w14:paraId="4DC23468" w14:textId="77777777" w:rsidTr="00FB2D48">
        <w:trPr>
          <w:trHeight w:val="496"/>
        </w:trPr>
        <w:tc>
          <w:tcPr>
            <w:tcW w:w="2845" w:type="dxa"/>
          </w:tcPr>
          <w:p w14:paraId="51F8AF40" w14:textId="77777777" w:rsidR="004A5A49" w:rsidRPr="0033450D" w:rsidRDefault="004A5A49">
            <w:pPr>
              <w:rPr>
                <w:rFonts w:ascii="Aptos" w:hAnsi="Aptos" w:cs="Segoe UI"/>
                <w:sz w:val="22"/>
                <w:szCs w:val="22"/>
              </w:rPr>
            </w:pPr>
            <w:r w:rsidRPr="0033450D">
              <w:rPr>
                <w:rFonts w:ascii="Aptos" w:hAnsi="Aptos" w:cs="Segoe UI"/>
                <w:b/>
                <w:bCs/>
                <w:sz w:val="22"/>
                <w:szCs w:val="22"/>
              </w:rPr>
              <w:t xml:space="preserve">Birkbeck focus </w:t>
            </w:r>
            <w:proofErr w:type="gramStart"/>
            <w:r w:rsidRPr="0033450D">
              <w:rPr>
                <w:rFonts w:ascii="Aptos" w:hAnsi="Aptos" w:cs="Segoe UI"/>
                <w:b/>
                <w:bCs/>
                <w:sz w:val="22"/>
                <w:szCs w:val="22"/>
              </w:rPr>
              <w:t>in</w:t>
            </w:r>
            <w:proofErr w:type="gramEnd"/>
            <w:r w:rsidRPr="0033450D">
              <w:rPr>
                <w:rFonts w:ascii="Aptos" w:hAnsi="Aptos" w:cs="Segoe UI"/>
                <w:b/>
                <w:bCs/>
                <w:sz w:val="22"/>
                <w:szCs w:val="22"/>
              </w:rPr>
              <w:t xml:space="preserve"> the Stage 2 process</w:t>
            </w:r>
          </w:p>
        </w:tc>
        <w:tc>
          <w:tcPr>
            <w:tcW w:w="6876" w:type="dxa"/>
          </w:tcPr>
          <w:p w14:paraId="4C680630" w14:textId="21E77733" w:rsidR="004A5A49" w:rsidRPr="0033450D" w:rsidRDefault="004A5A49">
            <w:pPr>
              <w:rPr>
                <w:rFonts w:ascii="Aptos" w:hAnsi="Aptos" w:cs="Segoe UI"/>
                <w:sz w:val="22"/>
                <w:szCs w:val="22"/>
              </w:rPr>
            </w:pPr>
            <w:r w:rsidRPr="0033450D">
              <w:rPr>
                <w:rFonts w:ascii="Aptos" w:hAnsi="Aptos" w:cs="Segoe UI"/>
                <w:sz w:val="22"/>
                <w:szCs w:val="22"/>
              </w:rPr>
              <w:t xml:space="preserve">Stage </w:t>
            </w:r>
            <w:r w:rsidR="002A4E71">
              <w:rPr>
                <w:rFonts w:ascii="Aptos" w:hAnsi="Aptos" w:cs="Segoe UI"/>
                <w:sz w:val="22"/>
                <w:szCs w:val="22"/>
              </w:rPr>
              <w:t>2</w:t>
            </w:r>
            <w:r w:rsidRPr="0033450D">
              <w:rPr>
                <w:rFonts w:ascii="Aptos" w:hAnsi="Aptos" w:cs="Segoe UI"/>
                <w:sz w:val="22"/>
                <w:szCs w:val="22"/>
              </w:rPr>
              <w:t xml:space="preserve"> is adapted to focus on the broad partner programme content and mapping of specific academic achievement levels required from students to articulate to the Birkbeck programme</w:t>
            </w:r>
          </w:p>
        </w:tc>
      </w:tr>
      <w:tr w:rsidR="004A5A49" w:rsidRPr="007B71A7" w14:paraId="4ADC74CF" w14:textId="77777777" w:rsidTr="00FB2D48">
        <w:trPr>
          <w:trHeight w:val="248"/>
        </w:trPr>
        <w:tc>
          <w:tcPr>
            <w:tcW w:w="2845" w:type="dxa"/>
          </w:tcPr>
          <w:p w14:paraId="2E6152DF" w14:textId="77777777" w:rsidR="004A5A49" w:rsidRPr="0033450D" w:rsidRDefault="004A5A49">
            <w:pPr>
              <w:rPr>
                <w:rFonts w:ascii="Aptos" w:hAnsi="Aptos" w:cs="Segoe UI"/>
                <w:sz w:val="22"/>
                <w:szCs w:val="22"/>
              </w:rPr>
            </w:pPr>
            <w:r w:rsidRPr="0033450D">
              <w:rPr>
                <w:rFonts w:ascii="Aptos" w:hAnsi="Aptos" w:cs="Segoe UI"/>
                <w:b/>
                <w:bCs/>
                <w:sz w:val="22"/>
                <w:szCs w:val="22"/>
              </w:rPr>
              <w:t>Student data and statutory returns</w:t>
            </w:r>
          </w:p>
        </w:tc>
        <w:tc>
          <w:tcPr>
            <w:tcW w:w="6876" w:type="dxa"/>
          </w:tcPr>
          <w:p w14:paraId="66B50DBA" w14:textId="77777777" w:rsidR="004A5A49" w:rsidRPr="0033450D" w:rsidRDefault="004A5A49">
            <w:pPr>
              <w:rPr>
                <w:rFonts w:ascii="Aptos" w:hAnsi="Aptos" w:cs="Segoe UI"/>
                <w:sz w:val="22"/>
                <w:szCs w:val="22"/>
              </w:rPr>
            </w:pPr>
            <w:r w:rsidRPr="0033450D">
              <w:rPr>
                <w:rFonts w:ascii="Aptos" w:hAnsi="Aptos" w:cs="Segoe UI"/>
                <w:sz w:val="22"/>
                <w:szCs w:val="22"/>
              </w:rPr>
              <w:t>Birkbeck is responsible once students enter the Birkbeck programme</w:t>
            </w:r>
          </w:p>
        </w:tc>
      </w:tr>
      <w:tr w:rsidR="004A5A49" w:rsidRPr="007B71A7" w14:paraId="27F28624" w14:textId="77777777" w:rsidTr="00FB2D48">
        <w:trPr>
          <w:trHeight w:val="506"/>
        </w:trPr>
        <w:tc>
          <w:tcPr>
            <w:tcW w:w="2845" w:type="dxa"/>
          </w:tcPr>
          <w:p w14:paraId="0679F3AF" w14:textId="77777777" w:rsidR="004A5A49" w:rsidRPr="0033450D" w:rsidRDefault="004A5A49">
            <w:pPr>
              <w:rPr>
                <w:rFonts w:ascii="Aptos" w:hAnsi="Aptos" w:cs="Segoe UI"/>
                <w:b/>
                <w:bCs/>
                <w:sz w:val="22"/>
                <w:szCs w:val="22"/>
              </w:rPr>
            </w:pPr>
            <w:r w:rsidRPr="0033450D">
              <w:rPr>
                <w:rFonts w:ascii="Aptos" w:hAnsi="Aptos" w:cs="Segoe UI"/>
                <w:b/>
                <w:bCs/>
                <w:sz w:val="22"/>
                <w:szCs w:val="22"/>
              </w:rPr>
              <w:t>Monitoring</w:t>
            </w:r>
          </w:p>
        </w:tc>
        <w:tc>
          <w:tcPr>
            <w:tcW w:w="6876" w:type="dxa"/>
          </w:tcPr>
          <w:p w14:paraId="0F8622D2" w14:textId="77777777" w:rsidR="004A5A49" w:rsidRPr="0033450D" w:rsidRDefault="004A5A49">
            <w:pPr>
              <w:rPr>
                <w:rFonts w:ascii="Aptos" w:hAnsi="Aptos" w:cs="Segoe UI"/>
                <w:sz w:val="22"/>
                <w:szCs w:val="22"/>
              </w:rPr>
            </w:pPr>
            <w:r w:rsidRPr="0033450D">
              <w:rPr>
                <w:rFonts w:ascii="Aptos" w:hAnsi="Aptos" w:cs="Segoe UI"/>
                <w:sz w:val="22"/>
                <w:szCs w:val="22"/>
              </w:rPr>
              <w:t>Periodic review to ensure partner provision remains aligned to Birkbeck programme and academic rigour</w:t>
            </w:r>
          </w:p>
        </w:tc>
      </w:tr>
      <w:tr w:rsidR="004A5A49" w:rsidRPr="007B71A7" w14:paraId="17748972" w14:textId="77777777" w:rsidTr="00FB2D48">
        <w:trPr>
          <w:trHeight w:val="248"/>
        </w:trPr>
        <w:tc>
          <w:tcPr>
            <w:tcW w:w="2845" w:type="dxa"/>
          </w:tcPr>
          <w:p w14:paraId="1E10E13B" w14:textId="77777777" w:rsidR="004A5A49" w:rsidRPr="0033450D" w:rsidRDefault="004A5A49">
            <w:pPr>
              <w:rPr>
                <w:rFonts w:ascii="Aptos" w:hAnsi="Aptos" w:cs="Segoe UI"/>
                <w:b/>
                <w:bCs/>
                <w:sz w:val="22"/>
                <w:szCs w:val="22"/>
              </w:rPr>
            </w:pPr>
            <w:r w:rsidRPr="0033450D">
              <w:rPr>
                <w:rFonts w:ascii="Aptos" w:hAnsi="Aptos" w:cs="Segoe UI"/>
                <w:b/>
                <w:bCs/>
                <w:sz w:val="22"/>
                <w:szCs w:val="22"/>
              </w:rPr>
              <w:t>Overall risk level</w:t>
            </w:r>
          </w:p>
        </w:tc>
        <w:tc>
          <w:tcPr>
            <w:tcW w:w="6876" w:type="dxa"/>
          </w:tcPr>
          <w:p w14:paraId="089D5939" w14:textId="77777777" w:rsidR="004A5A49" w:rsidRPr="0033450D" w:rsidRDefault="004A5A49">
            <w:pPr>
              <w:rPr>
                <w:rFonts w:ascii="Aptos" w:hAnsi="Aptos" w:cs="Segoe UI"/>
                <w:sz w:val="22"/>
                <w:szCs w:val="22"/>
              </w:rPr>
            </w:pPr>
            <w:r w:rsidRPr="0033450D">
              <w:rPr>
                <w:rFonts w:ascii="Aptos" w:hAnsi="Aptos" w:cs="Segoe UI"/>
                <w:sz w:val="22"/>
                <w:szCs w:val="22"/>
              </w:rPr>
              <w:t>Low</w:t>
            </w:r>
          </w:p>
        </w:tc>
      </w:tr>
    </w:tbl>
    <w:p w14:paraId="6CC9948E" w14:textId="77777777" w:rsidR="004A5A49" w:rsidRPr="0033450D" w:rsidRDefault="004A5A49" w:rsidP="004A5A49">
      <w:pPr>
        <w:rPr>
          <w:rFonts w:ascii="Aptos" w:hAnsi="Aptos" w:cs="Segoe UI"/>
          <w:b/>
          <w:bCs/>
          <w:sz w:val="22"/>
          <w:szCs w:val="22"/>
        </w:rPr>
      </w:pPr>
    </w:p>
    <w:p w14:paraId="0C5509FE" w14:textId="77777777" w:rsidR="004A5A49" w:rsidRPr="0033450D" w:rsidRDefault="004A5A49" w:rsidP="004A5A49">
      <w:pPr>
        <w:rPr>
          <w:rFonts w:ascii="Aptos" w:hAnsi="Aptos" w:cs="Segoe UI"/>
          <w:b/>
          <w:bCs/>
          <w:sz w:val="22"/>
          <w:szCs w:val="22"/>
        </w:rPr>
      </w:pPr>
      <w:r w:rsidRPr="0033450D">
        <w:rPr>
          <w:rFonts w:ascii="Aptos" w:hAnsi="Aptos" w:cs="Segoe UI"/>
          <w:b/>
          <w:bCs/>
          <w:sz w:val="22"/>
          <w:szCs w:val="22"/>
        </w:rPr>
        <w:br w:type="page"/>
      </w:r>
    </w:p>
    <w:p w14:paraId="356D193C" w14:textId="77777777" w:rsidR="004A5A49" w:rsidRPr="00306EA7" w:rsidRDefault="004A5A49" w:rsidP="001545CB">
      <w:pPr>
        <w:pStyle w:val="Heading3"/>
      </w:pPr>
      <w:bookmarkStart w:id="10" w:name="_Toc233884401"/>
      <w:r w:rsidRPr="00306EA7">
        <w:lastRenderedPageBreak/>
        <w:t>Progression</w:t>
      </w:r>
      <w:bookmarkEnd w:id="10"/>
    </w:p>
    <w:p w14:paraId="356DE2F9" w14:textId="77777777" w:rsidR="004A5A49" w:rsidRPr="0033450D" w:rsidRDefault="004A5A49" w:rsidP="004A5A49">
      <w:pPr>
        <w:rPr>
          <w:rFonts w:ascii="Aptos" w:hAnsi="Aptos" w:cs="Segoe UI"/>
          <w:b/>
          <w:bCs/>
          <w:sz w:val="22"/>
          <w:szCs w:val="22"/>
        </w:rPr>
      </w:pPr>
    </w:p>
    <w:p w14:paraId="53A92B92" w14:textId="77777777" w:rsidR="004A5A49" w:rsidRPr="0033450D" w:rsidRDefault="004A5A49" w:rsidP="004A5A49">
      <w:pPr>
        <w:rPr>
          <w:rFonts w:ascii="Aptos" w:hAnsi="Aptos" w:cs="Segoe UI"/>
          <w:sz w:val="22"/>
          <w:szCs w:val="22"/>
        </w:rPr>
      </w:pPr>
      <w:r w:rsidRPr="0033450D">
        <w:rPr>
          <w:rFonts w:ascii="Aptos" w:hAnsi="Aptos" w:cs="Segoe UI"/>
          <w:sz w:val="22"/>
          <w:szCs w:val="22"/>
        </w:rPr>
        <w:t xml:space="preserve">Students studying on a programme offered by the partner are eligible to apply for entry to a specified Birkbeck programme if they meet academic criteria that Birkbeck has agreed with the partner. Unlike an articulation agreement, entry to the Birkbeck programme is </w:t>
      </w:r>
      <w:r w:rsidRPr="0033450D">
        <w:rPr>
          <w:rFonts w:ascii="Aptos" w:hAnsi="Aptos" w:cs="Segoe UI"/>
          <w:b/>
          <w:bCs/>
          <w:sz w:val="22"/>
          <w:szCs w:val="22"/>
        </w:rPr>
        <w:t>not</w:t>
      </w:r>
      <w:r w:rsidRPr="0033450D">
        <w:rPr>
          <w:rFonts w:ascii="Aptos" w:hAnsi="Aptos" w:cs="Segoe UI"/>
          <w:sz w:val="22"/>
          <w:szCs w:val="22"/>
        </w:rPr>
        <w:t xml:space="preserve"> guaranteed.</w:t>
      </w:r>
    </w:p>
    <w:p w14:paraId="1BF953F6" w14:textId="77777777" w:rsidR="004A5A49" w:rsidRPr="0033450D" w:rsidRDefault="004A5A49" w:rsidP="004A5A49">
      <w:pPr>
        <w:rPr>
          <w:rFonts w:ascii="Aptos" w:hAnsi="Aptos" w:cs="Segoe UI"/>
          <w:sz w:val="22"/>
          <w:szCs w:val="22"/>
        </w:rPr>
      </w:pPr>
    </w:p>
    <w:tbl>
      <w:tblPr>
        <w:tblStyle w:val="TableGrid"/>
        <w:tblW w:w="9724" w:type="dxa"/>
        <w:tblLook w:val="04A0" w:firstRow="1" w:lastRow="0" w:firstColumn="1" w:lastColumn="0" w:noHBand="0" w:noVBand="1"/>
      </w:tblPr>
      <w:tblGrid>
        <w:gridCol w:w="2867"/>
        <w:gridCol w:w="6857"/>
      </w:tblGrid>
      <w:tr w:rsidR="004A5A49" w:rsidRPr="007B71A7" w14:paraId="030DC03E" w14:textId="77777777" w:rsidTr="00FB2D48">
        <w:trPr>
          <w:trHeight w:val="544"/>
          <w:tblHeader/>
        </w:trPr>
        <w:tc>
          <w:tcPr>
            <w:tcW w:w="2867" w:type="dxa"/>
            <w:shd w:val="pct12" w:color="auto" w:fill="auto"/>
          </w:tcPr>
          <w:p w14:paraId="4716C8A0" w14:textId="77777777" w:rsidR="004A5A49" w:rsidRPr="0033450D" w:rsidRDefault="004A5A49">
            <w:pPr>
              <w:rPr>
                <w:rFonts w:ascii="Aptos" w:hAnsi="Aptos" w:cs="Segoe UI"/>
                <w:b/>
                <w:bCs/>
                <w:sz w:val="22"/>
                <w:szCs w:val="22"/>
              </w:rPr>
            </w:pPr>
            <w:r w:rsidRPr="0033450D">
              <w:rPr>
                <w:rFonts w:ascii="Aptos" w:hAnsi="Aptos" w:cs="Segoe UI"/>
                <w:b/>
                <w:bCs/>
                <w:sz w:val="22"/>
                <w:szCs w:val="22"/>
              </w:rPr>
              <w:t>Responsibility</w:t>
            </w:r>
          </w:p>
          <w:p w14:paraId="501B8E2C" w14:textId="77777777" w:rsidR="004A5A49" w:rsidRPr="0033450D" w:rsidRDefault="004A5A49">
            <w:pPr>
              <w:rPr>
                <w:rFonts w:ascii="Aptos" w:hAnsi="Aptos" w:cs="Segoe UI"/>
                <w:sz w:val="22"/>
                <w:szCs w:val="22"/>
              </w:rPr>
            </w:pPr>
          </w:p>
        </w:tc>
        <w:tc>
          <w:tcPr>
            <w:tcW w:w="6857" w:type="dxa"/>
            <w:shd w:val="pct12" w:color="auto" w:fill="auto"/>
          </w:tcPr>
          <w:p w14:paraId="4C2A04FA" w14:textId="77777777" w:rsidR="004A5A49" w:rsidRPr="0033450D" w:rsidRDefault="004A5A49">
            <w:pPr>
              <w:rPr>
                <w:rFonts w:ascii="Aptos" w:hAnsi="Aptos" w:cs="Segoe UI"/>
                <w:b/>
                <w:bCs/>
                <w:sz w:val="22"/>
                <w:szCs w:val="22"/>
              </w:rPr>
            </w:pPr>
            <w:r w:rsidRPr="0033450D">
              <w:rPr>
                <w:rFonts w:ascii="Aptos" w:hAnsi="Aptos" w:cs="Segoe UI"/>
                <w:b/>
                <w:bCs/>
                <w:sz w:val="22"/>
                <w:szCs w:val="22"/>
              </w:rPr>
              <w:t>Approach</w:t>
            </w:r>
          </w:p>
        </w:tc>
      </w:tr>
      <w:tr w:rsidR="004A5A49" w:rsidRPr="007B71A7" w14:paraId="67CAB5F0" w14:textId="77777777" w:rsidTr="00FB2D48">
        <w:trPr>
          <w:trHeight w:val="806"/>
        </w:trPr>
        <w:tc>
          <w:tcPr>
            <w:tcW w:w="2867" w:type="dxa"/>
          </w:tcPr>
          <w:p w14:paraId="4194C0B2" w14:textId="77777777" w:rsidR="004A5A49" w:rsidRPr="0033450D" w:rsidRDefault="004A5A49">
            <w:pPr>
              <w:rPr>
                <w:rFonts w:ascii="Aptos" w:hAnsi="Aptos" w:cs="Segoe UI"/>
                <w:sz w:val="22"/>
                <w:szCs w:val="22"/>
              </w:rPr>
            </w:pPr>
            <w:r w:rsidRPr="0033450D">
              <w:rPr>
                <w:rFonts w:ascii="Aptos" w:hAnsi="Aptos" w:cs="Segoe UI"/>
                <w:b/>
                <w:bCs/>
                <w:sz w:val="22"/>
                <w:szCs w:val="22"/>
              </w:rPr>
              <w:t>Programme Intellectual Property</w:t>
            </w:r>
          </w:p>
        </w:tc>
        <w:tc>
          <w:tcPr>
            <w:tcW w:w="6857" w:type="dxa"/>
          </w:tcPr>
          <w:p w14:paraId="02B15306" w14:textId="77777777" w:rsidR="004A5A49" w:rsidRPr="0033450D" w:rsidRDefault="004A5A49">
            <w:pPr>
              <w:rPr>
                <w:rFonts w:ascii="Aptos" w:hAnsi="Aptos" w:cs="Segoe UI"/>
                <w:sz w:val="22"/>
                <w:szCs w:val="22"/>
              </w:rPr>
            </w:pPr>
            <w:r w:rsidRPr="0033450D">
              <w:rPr>
                <w:rFonts w:ascii="Aptos" w:hAnsi="Aptos" w:cs="Segoe UI"/>
                <w:sz w:val="22"/>
                <w:szCs w:val="22"/>
              </w:rPr>
              <w:t>Birkbeck and the partner each design their own programme and therefore own the respective intellectual property. Birkbeck would own the intellectual property of the partner’s programme if it was designed by Birkbeck and franchised to the College</w:t>
            </w:r>
          </w:p>
        </w:tc>
      </w:tr>
      <w:tr w:rsidR="004A5A49" w:rsidRPr="007B71A7" w14:paraId="19EFEA2F" w14:textId="77777777" w:rsidTr="00FB2D48">
        <w:trPr>
          <w:trHeight w:val="272"/>
        </w:trPr>
        <w:tc>
          <w:tcPr>
            <w:tcW w:w="2867" w:type="dxa"/>
          </w:tcPr>
          <w:p w14:paraId="66B2B132" w14:textId="77777777" w:rsidR="004A5A49" w:rsidRPr="0033450D" w:rsidRDefault="004A5A49">
            <w:pPr>
              <w:rPr>
                <w:rFonts w:ascii="Aptos" w:hAnsi="Aptos" w:cs="Segoe UI"/>
                <w:sz w:val="22"/>
                <w:szCs w:val="22"/>
              </w:rPr>
            </w:pPr>
            <w:r w:rsidRPr="0033450D">
              <w:rPr>
                <w:rFonts w:ascii="Aptos" w:hAnsi="Aptos" w:cs="Segoe UI"/>
                <w:b/>
                <w:bCs/>
                <w:sz w:val="22"/>
                <w:szCs w:val="22"/>
              </w:rPr>
              <w:t>Programme Delivery and Assessment</w:t>
            </w:r>
          </w:p>
        </w:tc>
        <w:tc>
          <w:tcPr>
            <w:tcW w:w="6857" w:type="dxa"/>
          </w:tcPr>
          <w:p w14:paraId="7044C96A" w14:textId="77777777" w:rsidR="004A5A49" w:rsidRPr="0033450D" w:rsidRDefault="004A5A49">
            <w:pPr>
              <w:rPr>
                <w:rFonts w:ascii="Aptos" w:hAnsi="Aptos" w:cs="Segoe UI"/>
                <w:sz w:val="22"/>
                <w:szCs w:val="22"/>
              </w:rPr>
            </w:pPr>
            <w:r w:rsidRPr="0033450D">
              <w:rPr>
                <w:rFonts w:ascii="Aptos" w:hAnsi="Aptos" w:cs="Segoe UI"/>
                <w:sz w:val="22"/>
                <w:szCs w:val="22"/>
              </w:rPr>
              <w:t>Birkbeck does not have a role in the delivery of the partner’s programme</w:t>
            </w:r>
          </w:p>
        </w:tc>
      </w:tr>
      <w:tr w:rsidR="004A5A49" w:rsidRPr="007B71A7" w14:paraId="34BB48D9" w14:textId="77777777" w:rsidTr="00FB2D48">
        <w:trPr>
          <w:trHeight w:val="544"/>
        </w:trPr>
        <w:tc>
          <w:tcPr>
            <w:tcW w:w="2867" w:type="dxa"/>
          </w:tcPr>
          <w:p w14:paraId="23F7DE86" w14:textId="77777777" w:rsidR="004A5A49" w:rsidRPr="0033450D" w:rsidRDefault="004A5A49">
            <w:pPr>
              <w:rPr>
                <w:rFonts w:ascii="Aptos" w:hAnsi="Aptos" w:cs="Segoe UI"/>
                <w:sz w:val="22"/>
                <w:szCs w:val="22"/>
              </w:rPr>
            </w:pPr>
            <w:r w:rsidRPr="0033450D">
              <w:rPr>
                <w:rFonts w:ascii="Aptos" w:hAnsi="Aptos" w:cs="Segoe UI"/>
                <w:b/>
                <w:bCs/>
                <w:sz w:val="22"/>
                <w:szCs w:val="22"/>
              </w:rPr>
              <w:t>Award</w:t>
            </w:r>
          </w:p>
        </w:tc>
        <w:tc>
          <w:tcPr>
            <w:tcW w:w="6857" w:type="dxa"/>
          </w:tcPr>
          <w:p w14:paraId="77207F29" w14:textId="77777777" w:rsidR="004A5A49" w:rsidRPr="0033450D" w:rsidRDefault="004A5A49">
            <w:pPr>
              <w:rPr>
                <w:rFonts w:ascii="Aptos" w:hAnsi="Aptos" w:cs="Segoe UI"/>
                <w:sz w:val="22"/>
                <w:szCs w:val="22"/>
              </w:rPr>
            </w:pPr>
            <w:r w:rsidRPr="0033450D">
              <w:rPr>
                <w:rFonts w:ascii="Aptos" w:hAnsi="Aptos" w:cs="Segoe UI"/>
                <w:sz w:val="22"/>
                <w:szCs w:val="22"/>
              </w:rPr>
              <w:t>Birkbeck does not make an award where a student successfully completes the partner’s programme. It does make an award where the student successfully completes the Birkbeck programme</w:t>
            </w:r>
          </w:p>
        </w:tc>
      </w:tr>
      <w:tr w:rsidR="004A5A49" w:rsidRPr="007B71A7" w14:paraId="5605B801" w14:textId="77777777" w:rsidTr="00FB2D48">
        <w:trPr>
          <w:trHeight w:val="544"/>
        </w:trPr>
        <w:tc>
          <w:tcPr>
            <w:tcW w:w="2867" w:type="dxa"/>
          </w:tcPr>
          <w:p w14:paraId="0FE6778A" w14:textId="77777777" w:rsidR="004A5A49" w:rsidRPr="0033450D" w:rsidRDefault="004A5A49">
            <w:pPr>
              <w:rPr>
                <w:rFonts w:ascii="Aptos" w:hAnsi="Aptos" w:cs="Segoe UI"/>
                <w:sz w:val="22"/>
                <w:szCs w:val="22"/>
              </w:rPr>
            </w:pPr>
            <w:r w:rsidRPr="0033450D">
              <w:rPr>
                <w:rFonts w:ascii="Aptos" w:hAnsi="Aptos" w:cs="Segoe UI"/>
                <w:b/>
                <w:bCs/>
                <w:sz w:val="22"/>
                <w:szCs w:val="22"/>
              </w:rPr>
              <w:t>Academic regulations and policies</w:t>
            </w:r>
          </w:p>
        </w:tc>
        <w:tc>
          <w:tcPr>
            <w:tcW w:w="6857" w:type="dxa"/>
          </w:tcPr>
          <w:p w14:paraId="1784A048" w14:textId="77777777" w:rsidR="004A5A49" w:rsidRPr="0033450D" w:rsidRDefault="004A5A49">
            <w:pPr>
              <w:rPr>
                <w:rFonts w:ascii="Aptos" w:hAnsi="Aptos" w:cs="Segoe UI"/>
                <w:sz w:val="22"/>
                <w:szCs w:val="22"/>
              </w:rPr>
            </w:pPr>
            <w:r w:rsidRPr="0033450D">
              <w:rPr>
                <w:rFonts w:ascii="Aptos" w:hAnsi="Aptos" w:cs="Segoe UI"/>
                <w:sz w:val="22"/>
                <w:szCs w:val="22"/>
              </w:rPr>
              <w:t>Birkbeck academic regulations and policies do not apply to the programme offered by the partner. They do apply if a student is admitted onto the programme by Birkbeck</w:t>
            </w:r>
          </w:p>
        </w:tc>
      </w:tr>
      <w:tr w:rsidR="004A5A49" w:rsidRPr="007B71A7" w14:paraId="74E42723" w14:textId="77777777" w:rsidTr="00FB2D48">
        <w:trPr>
          <w:trHeight w:val="262"/>
        </w:trPr>
        <w:tc>
          <w:tcPr>
            <w:tcW w:w="2867" w:type="dxa"/>
          </w:tcPr>
          <w:p w14:paraId="3470F400" w14:textId="77777777" w:rsidR="004A5A49" w:rsidRPr="0033450D" w:rsidRDefault="004A5A49">
            <w:pPr>
              <w:rPr>
                <w:rFonts w:ascii="Aptos" w:hAnsi="Aptos" w:cs="Segoe UI"/>
                <w:b/>
                <w:bCs/>
                <w:sz w:val="22"/>
                <w:szCs w:val="22"/>
              </w:rPr>
            </w:pPr>
            <w:r w:rsidRPr="0033450D">
              <w:rPr>
                <w:rFonts w:ascii="Aptos" w:hAnsi="Aptos" w:cs="Segoe UI"/>
                <w:b/>
                <w:bCs/>
                <w:sz w:val="22"/>
                <w:szCs w:val="22"/>
              </w:rPr>
              <w:t>Student contractual relationship</w:t>
            </w:r>
          </w:p>
        </w:tc>
        <w:tc>
          <w:tcPr>
            <w:tcW w:w="6857" w:type="dxa"/>
          </w:tcPr>
          <w:p w14:paraId="6C4D8495" w14:textId="77777777" w:rsidR="004A5A49" w:rsidRPr="0033450D" w:rsidRDefault="004A5A49">
            <w:pPr>
              <w:rPr>
                <w:rFonts w:ascii="Aptos" w:hAnsi="Aptos" w:cs="Segoe UI"/>
                <w:sz w:val="22"/>
                <w:szCs w:val="22"/>
              </w:rPr>
            </w:pPr>
            <w:r w:rsidRPr="0033450D">
              <w:rPr>
                <w:rFonts w:ascii="Aptos" w:hAnsi="Aptos" w:cs="Segoe UI"/>
                <w:sz w:val="22"/>
                <w:szCs w:val="22"/>
              </w:rPr>
              <w:t>Partner on original programme and Birkbeck when commencing on Birkbeck programme</w:t>
            </w:r>
          </w:p>
        </w:tc>
      </w:tr>
      <w:tr w:rsidR="004A5A49" w:rsidRPr="007B71A7" w14:paraId="5C282361" w14:textId="77777777" w:rsidTr="00FB2D48">
        <w:trPr>
          <w:trHeight w:val="817"/>
        </w:trPr>
        <w:tc>
          <w:tcPr>
            <w:tcW w:w="2867" w:type="dxa"/>
          </w:tcPr>
          <w:p w14:paraId="6FBE4FD7" w14:textId="77777777" w:rsidR="004A5A49" w:rsidRPr="0033450D" w:rsidRDefault="004A5A49">
            <w:pPr>
              <w:rPr>
                <w:rFonts w:ascii="Aptos" w:hAnsi="Aptos" w:cs="Segoe UI"/>
                <w:sz w:val="22"/>
                <w:szCs w:val="22"/>
              </w:rPr>
            </w:pPr>
            <w:r w:rsidRPr="0033450D">
              <w:rPr>
                <w:rFonts w:ascii="Aptos" w:hAnsi="Aptos" w:cs="Segoe UI"/>
                <w:b/>
                <w:bCs/>
                <w:sz w:val="22"/>
                <w:szCs w:val="22"/>
              </w:rPr>
              <w:t>Student Protection Plan</w:t>
            </w:r>
          </w:p>
        </w:tc>
        <w:tc>
          <w:tcPr>
            <w:tcW w:w="6857" w:type="dxa"/>
          </w:tcPr>
          <w:p w14:paraId="7309DB1F" w14:textId="7C6A5DAB" w:rsidR="004A5A49" w:rsidRPr="0033450D" w:rsidRDefault="004A5A49">
            <w:pPr>
              <w:rPr>
                <w:rFonts w:ascii="Aptos" w:hAnsi="Aptos" w:cs="Segoe UI"/>
                <w:sz w:val="22"/>
                <w:szCs w:val="22"/>
              </w:rPr>
            </w:pPr>
            <w:r w:rsidRPr="0033450D">
              <w:rPr>
                <w:rFonts w:ascii="Aptos" w:hAnsi="Aptos" w:cs="Segoe UI"/>
                <w:sz w:val="22"/>
                <w:szCs w:val="22"/>
              </w:rPr>
              <w:t xml:space="preserve">If the Birkbeck programme to which the students hope to progress was to be terminated or phased out, Birkbeck would inform the partner </w:t>
            </w:r>
            <w:r w:rsidR="00CE4BC5" w:rsidRPr="0033450D">
              <w:rPr>
                <w:rFonts w:ascii="Aptos" w:hAnsi="Aptos" w:cs="Segoe UI"/>
                <w:sz w:val="22"/>
                <w:szCs w:val="22"/>
              </w:rPr>
              <w:t>institution,</w:t>
            </w:r>
            <w:r w:rsidRPr="0033450D">
              <w:rPr>
                <w:rFonts w:ascii="Aptos" w:hAnsi="Aptos" w:cs="Segoe UI"/>
                <w:sz w:val="22"/>
                <w:szCs w:val="22"/>
              </w:rPr>
              <w:t xml:space="preserve"> and the partner institution would inform prospective students</w:t>
            </w:r>
          </w:p>
        </w:tc>
      </w:tr>
      <w:tr w:rsidR="004A5A49" w:rsidRPr="007B71A7" w14:paraId="5C573595" w14:textId="77777777" w:rsidTr="00FB2D48">
        <w:trPr>
          <w:trHeight w:val="272"/>
        </w:trPr>
        <w:tc>
          <w:tcPr>
            <w:tcW w:w="2867" w:type="dxa"/>
          </w:tcPr>
          <w:p w14:paraId="0AE22878" w14:textId="77777777" w:rsidR="004A5A49" w:rsidRPr="0033450D" w:rsidRDefault="004A5A49">
            <w:pPr>
              <w:rPr>
                <w:rFonts w:ascii="Aptos" w:hAnsi="Aptos" w:cs="Segoe UI"/>
                <w:sz w:val="22"/>
                <w:szCs w:val="22"/>
              </w:rPr>
            </w:pPr>
            <w:r w:rsidRPr="0033450D">
              <w:rPr>
                <w:rFonts w:ascii="Aptos" w:hAnsi="Aptos" w:cs="Segoe UI"/>
                <w:b/>
                <w:bCs/>
                <w:sz w:val="22"/>
                <w:szCs w:val="22"/>
              </w:rPr>
              <w:t>Birkbeck approval process</w:t>
            </w:r>
          </w:p>
        </w:tc>
        <w:tc>
          <w:tcPr>
            <w:tcW w:w="6857" w:type="dxa"/>
          </w:tcPr>
          <w:p w14:paraId="21372A1C" w14:textId="2C145E77" w:rsidR="004A5A49" w:rsidRPr="0033450D" w:rsidRDefault="00E9611C">
            <w:pPr>
              <w:rPr>
                <w:rFonts w:ascii="Aptos" w:hAnsi="Aptos" w:cs="Segoe UI"/>
                <w:sz w:val="22"/>
                <w:szCs w:val="22"/>
              </w:rPr>
            </w:pPr>
            <w:r w:rsidRPr="0033450D">
              <w:rPr>
                <w:rFonts w:ascii="Aptos" w:hAnsi="Aptos" w:cs="Segoe UI"/>
                <w:sz w:val="22"/>
                <w:szCs w:val="22"/>
              </w:rPr>
              <w:t>Stage 0, 1 and 2 processes apply</w:t>
            </w:r>
          </w:p>
        </w:tc>
      </w:tr>
      <w:tr w:rsidR="004A5A49" w:rsidRPr="007B71A7" w14:paraId="161EF78F" w14:textId="77777777" w:rsidTr="00FB2D48">
        <w:trPr>
          <w:trHeight w:val="544"/>
        </w:trPr>
        <w:tc>
          <w:tcPr>
            <w:tcW w:w="2867" w:type="dxa"/>
          </w:tcPr>
          <w:p w14:paraId="18AF84ED" w14:textId="77777777" w:rsidR="004A5A49" w:rsidRPr="0033450D" w:rsidRDefault="004A5A49">
            <w:pPr>
              <w:rPr>
                <w:rFonts w:ascii="Aptos" w:hAnsi="Aptos" w:cs="Segoe UI"/>
                <w:sz w:val="22"/>
                <w:szCs w:val="22"/>
              </w:rPr>
            </w:pPr>
            <w:r w:rsidRPr="0033450D">
              <w:rPr>
                <w:rFonts w:ascii="Aptos" w:hAnsi="Aptos" w:cs="Segoe UI"/>
                <w:b/>
                <w:bCs/>
                <w:sz w:val="22"/>
                <w:szCs w:val="22"/>
              </w:rPr>
              <w:t xml:space="preserve">Birkbeck focus </w:t>
            </w:r>
            <w:proofErr w:type="gramStart"/>
            <w:r w:rsidRPr="0033450D">
              <w:rPr>
                <w:rFonts w:ascii="Aptos" w:hAnsi="Aptos" w:cs="Segoe UI"/>
                <w:b/>
                <w:bCs/>
                <w:sz w:val="22"/>
                <w:szCs w:val="22"/>
              </w:rPr>
              <w:t>in</w:t>
            </w:r>
            <w:proofErr w:type="gramEnd"/>
            <w:r w:rsidRPr="0033450D">
              <w:rPr>
                <w:rFonts w:ascii="Aptos" w:hAnsi="Aptos" w:cs="Segoe UI"/>
                <w:b/>
                <w:bCs/>
                <w:sz w:val="22"/>
                <w:szCs w:val="22"/>
              </w:rPr>
              <w:t xml:space="preserve"> the Stage 1 process</w:t>
            </w:r>
          </w:p>
        </w:tc>
        <w:tc>
          <w:tcPr>
            <w:tcW w:w="6857" w:type="dxa"/>
          </w:tcPr>
          <w:p w14:paraId="208B2BE0" w14:textId="44A4B62B" w:rsidR="004A5A49" w:rsidRPr="0033450D" w:rsidRDefault="004A5A49">
            <w:pPr>
              <w:rPr>
                <w:rFonts w:ascii="Aptos" w:hAnsi="Aptos" w:cs="Segoe UI"/>
                <w:sz w:val="22"/>
                <w:szCs w:val="22"/>
              </w:rPr>
            </w:pPr>
            <w:r w:rsidRPr="0033450D">
              <w:rPr>
                <w:rFonts w:ascii="Aptos" w:hAnsi="Aptos" w:cs="Segoe UI"/>
                <w:sz w:val="22"/>
                <w:szCs w:val="22"/>
              </w:rPr>
              <w:t xml:space="preserve">Stage </w:t>
            </w:r>
            <w:r w:rsidR="002A4E71">
              <w:rPr>
                <w:rFonts w:ascii="Aptos" w:hAnsi="Aptos" w:cs="Segoe UI"/>
                <w:sz w:val="22"/>
                <w:szCs w:val="22"/>
              </w:rPr>
              <w:t>2</w:t>
            </w:r>
            <w:r w:rsidRPr="0033450D">
              <w:rPr>
                <w:rFonts w:ascii="Aptos" w:hAnsi="Aptos" w:cs="Segoe UI"/>
                <w:sz w:val="22"/>
                <w:szCs w:val="22"/>
              </w:rPr>
              <w:t xml:space="preserve"> is adapted to focus on the broad partner programme content and mapping of specific academic achievement levels required from students to articulate to the Birkbeck programme</w:t>
            </w:r>
          </w:p>
        </w:tc>
      </w:tr>
      <w:tr w:rsidR="004A5A49" w:rsidRPr="007B71A7" w14:paraId="4EDE642F" w14:textId="77777777" w:rsidTr="00FB2D48">
        <w:trPr>
          <w:trHeight w:val="262"/>
        </w:trPr>
        <w:tc>
          <w:tcPr>
            <w:tcW w:w="2867" w:type="dxa"/>
          </w:tcPr>
          <w:p w14:paraId="3D0BF1DB" w14:textId="77777777" w:rsidR="004A5A49" w:rsidRPr="0033450D" w:rsidRDefault="004A5A49">
            <w:pPr>
              <w:rPr>
                <w:rFonts w:ascii="Aptos" w:hAnsi="Aptos" w:cs="Segoe UI"/>
                <w:sz w:val="22"/>
                <w:szCs w:val="22"/>
              </w:rPr>
            </w:pPr>
            <w:r w:rsidRPr="0033450D">
              <w:rPr>
                <w:rFonts w:ascii="Aptos" w:hAnsi="Aptos" w:cs="Segoe UI"/>
                <w:b/>
                <w:bCs/>
                <w:sz w:val="22"/>
                <w:szCs w:val="22"/>
              </w:rPr>
              <w:t>Student data and statutory returns</w:t>
            </w:r>
          </w:p>
        </w:tc>
        <w:tc>
          <w:tcPr>
            <w:tcW w:w="6857" w:type="dxa"/>
          </w:tcPr>
          <w:p w14:paraId="0E4A2E49" w14:textId="77777777" w:rsidR="004A5A49" w:rsidRPr="0033450D" w:rsidRDefault="004A5A49">
            <w:pPr>
              <w:rPr>
                <w:rFonts w:ascii="Aptos" w:hAnsi="Aptos" w:cs="Segoe UI"/>
                <w:sz w:val="22"/>
                <w:szCs w:val="22"/>
              </w:rPr>
            </w:pPr>
            <w:r w:rsidRPr="0033450D">
              <w:rPr>
                <w:rFonts w:ascii="Aptos" w:hAnsi="Aptos" w:cs="Segoe UI"/>
                <w:sz w:val="22"/>
                <w:szCs w:val="22"/>
              </w:rPr>
              <w:t>Birkbeck would be responsible once students entered the Birkbeck programme</w:t>
            </w:r>
          </w:p>
        </w:tc>
      </w:tr>
      <w:tr w:rsidR="004A5A49" w:rsidRPr="007B71A7" w14:paraId="788BD127" w14:textId="77777777" w:rsidTr="00FB2D48">
        <w:trPr>
          <w:trHeight w:val="544"/>
        </w:trPr>
        <w:tc>
          <w:tcPr>
            <w:tcW w:w="2867" w:type="dxa"/>
          </w:tcPr>
          <w:p w14:paraId="44B64BB8" w14:textId="77777777" w:rsidR="004A5A49" w:rsidRPr="0033450D" w:rsidRDefault="004A5A49">
            <w:pPr>
              <w:rPr>
                <w:rFonts w:ascii="Aptos" w:hAnsi="Aptos" w:cs="Segoe UI"/>
                <w:sz w:val="22"/>
                <w:szCs w:val="22"/>
              </w:rPr>
            </w:pPr>
            <w:r w:rsidRPr="0033450D">
              <w:rPr>
                <w:rFonts w:ascii="Aptos" w:hAnsi="Aptos" w:cs="Segoe UI"/>
                <w:b/>
                <w:bCs/>
                <w:sz w:val="22"/>
                <w:szCs w:val="22"/>
              </w:rPr>
              <w:t>Monitoring</w:t>
            </w:r>
          </w:p>
        </w:tc>
        <w:tc>
          <w:tcPr>
            <w:tcW w:w="6857" w:type="dxa"/>
          </w:tcPr>
          <w:p w14:paraId="2083BA39" w14:textId="77777777" w:rsidR="004A5A49" w:rsidRPr="0033450D" w:rsidRDefault="004A5A49">
            <w:pPr>
              <w:rPr>
                <w:rFonts w:ascii="Aptos" w:hAnsi="Aptos" w:cs="Segoe UI"/>
                <w:sz w:val="22"/>
                <w:szCs w:val="22"/>
              </w:rPr>
            </w:pPr>
            <w:r w:rsidRPr="0033450D">
              <w:rPr>
                <w:rFonts w:ascii="Aptos" w:hAnsi="Aptos" w:cs="Segoe UI"/>
                <w:sz w:val="22"/>
                <w:szCs w:val="22"/>
              </w:rPr>
              <w:t>Periodic review to ensure partner provision remains aligned to Birkbeck programme and academic rigour</w:t>
            </w:r>
          </w:p>
        </w:tc>
      </w:tr>
      <w:tr w:rsidR="004A5A49" w:rsidRPr="007B71A7" w14:paraId="612CF706" w14:textId="77777777" w:rsidTr="00FB2D48">
        <w:trPr>
          <w:trHeight w:val="272"/>
        </w:trPr>
        <w:tc>
          <w:tcPr>
            <w:tcW w:w="2867" w:type="dxa"/>
          </w:tcPr>
          <w:p w14:paraId="26E3CB11" w14:textId="77777777" w:rsidR="004A5A49" w:rsidRPr="0033450D" w:rsidRDefault="004A5A49">
            <w:pPr>
              <w:rPr>
                <w:rFonts w:ascii="Aptos" w:hAnsi="Aptos" w:cs="Segoe UI"/>
                <w:sz w:val="22"/>
                <w:szCs w:val="22"/>
              </w:rPr>
            </w:pPr>
            <w:r w:rsidRPr="0033450D">
              <w:rPr>
                <w:rFonts w:ascii="Aptos" w:hAnsi="Aptos" w:cs="Segoe UI"/>
                <w:b/>
                <w:bCs/>
                <w:sz w:val="22"/>
                <w:szCs w:val="22"/>
              </w:rPr>
              <w:t>Overall risk level</w:t>
            </w:r>
          </w:p>
        </w:tc>
        <w:tc>
          <w:tcPr>
            <w:tcW w:w="6857" w:type="dxa"/>
          </w:tcPr>
          <w:p w14:paraId="0BF2156F" w14:textId="77777777" w:rsidR="004A5A49" w:rsidRPr="0033450D" w:rsidRDefault="004A5A49">
            <w:pPr>
              <w:rPr>
                <w:rFonts w:ascii="Aptos" w:hAnsi="Aptos" w:cs="Segoe UI"/>
                <w:sz w:val="22"/>
                <w:szCs w:val="22"/>
              </w:rPr>
            </w:pPr>
            <w:r w:rsidRPr="0033450D">
              <w:rPr>
                <w:rFonts w:ascii="Aptos" w:hAnsi="Aptos" w:cs="Segoe UI"/>
                <w:sz w:val="22"/>
                <w:szCs w:val="22"/>
              </w:rPr>
              <w:t>Low</w:t>
            </w:r>
          </w:p>
        </w:tc>
      </w:tr>
    </w:tbl>
    <w:p w14:paraId="15AFE9E3" w14:textId="77777777" w:rsidR="004A5A49" w:rsidRPr="0033450D" w:rsidRDefault="004A5A49">
      <w:pPr>
        <w:rPr>
          <w:rFonts w:ascii="Aptos" w:hAnsi="Aptos" w:cs="Segoe UI"/>
          <w:b/>
          <w:bCs/>
          <w:sz w:val="22"/>
          <w:szCs w:val="22"/>
        </w:rPr>
      </w:pPr>
    </w:p>
    <w:p w14:paraId="29A64A38" w14:textId="77777777" w:rsidR="004A5A49" w:rsidRDefault="004A5A49">
      <w:pPr>
        <w:rPr>
          <w:rFonts w:ascii="Aptos" w:hAnsi="Aptos" w:cs="Segoe UI"/>
          <w:b/>
          <w:bCs/>
          <w:sz w:val="22"/>
          <w:szCs w:val="22"/>
        </w:rPr>
      </w:pPr>
    </w:p>
    <w:p w14:paraId="462488F0" w14:textId="77777777" w:rsidR="00DE010D" w:rsidRDefault="00DE010D">
      <w:pPr>
        <w:rPr>
          <w:rFonts w:ascii="Aptos" w:hAnsi="Aptos" w:cs="Segoe UI"/>
          <w:b/>
          <w:bCs/>
          <w:sz w:val="22"/>
          <w:szCs w:val="22"/>
        </w:rPr>
      </w:pPr>
    </w:p>
    <w:p w14:paraId="3B651C66" w14:textId="77777777" w:rsidR="00DE010D" w:rsidRDefault="00DE010D">
      <w:pPr>
        <w:rPr>
          <w:rFonts w:ascii="Aptos" w:hAnsi="Aptos" w:cs="Segoe UI"/>
          <w:b/>
          <w:bCs/>
          <w:sz w:val="22"/>
          <w:szCs w:val="22"/>
        </w:rPr>
      </w:pPr>
    </w:p>
    <w:p w14:paraId="1D76A0ED" w14:textId="77777777" w:rsidR="00DE010D" w:rsidRDefault="00DE010D">
      <w:pPr>
        <w:rPr>
          <w:rFonts w:ascii="Aptos" w:hAnsi="Aptos" w:cs="Segoe UI"/>
          <w:b/>
          <w:bCs/>
          <w:sz w:val="22"/>
          <w:szCs w:val="22"/>
        </w:rPr>
      </w:pPr>
    </w:p>
    <w:p w14:paraId="57F2AA59" w14:textId="77777777" w:rsidR="00DE010D" w:rsidRDefault="00DE010D">
      <w:pPr>
        <w:rPr>
          <w:rFonts w:ascii="Aptos" w:hAnsi="Aptos" w:cs="Segoe UI"/>
          <w:b/>
          <w:bCs/>
          <w:sz w:val="22"/>
          <w:szCs w:val="22"/>
        </w:rPr>
      </w:pPr>
    </w:p>
    <w:p w14:paraId="4C33DD3A" w14:textId="77777777" w:rsidR="00DE010D" w:rsidRDefault="00DE010D">
      <w:pPr>
        <w:rPr>
          <w:rFonts w:ascii="Aptos" w:hAnsi="Aptos" w:cs="Segoe UI"/>
          <w:b/>
          <w:bCs/>
          <w:sz w:val="22"/>
          <w:szCs w:val="22"/>
        </w:rPr>
      </w:pPr>
    </w:p>
    <w:p w14:paraId="4FD5C74F" w14:textId="77777777" w:rsidR="00DE010D" w:rsidRPr="0033450D" w:rsidRDefault="00DE010D">
      <w:pPr>
        <w:rPr>
          <w:rFonts w:ascii="Aptos" w:hAnsi="Aptos" w:cs="Segoe UI"/>
          <w:b/>
          <w:bCs/>
          <w:sz w:val="22"/>
          <w:szCs w:val="22"/>
        </w:rPr>
      </w:pPr>
    </w:p>
    <w:p w14:paraId="3BF933A9" w14:textId="77777777" w:rsidR="00BF49FF" w:rsidRDefault="00BF49FF" w:rsidP="00BF49FF">
      <w:pPr>
        <w:pStyle w:val="Heading2"/>
      </w:pPr>
    </w:p>
    <w:p w14:paraId="6F19CA4F" w14:textId="77777777" w:rsidR="00FB2D48" w:rsidRDefault="00FB2D48">
      <w:pPr>
        <w:rPr>
          <w:rFonts w:asciiTheme="majorHAnsi" w:eastAsiaTheme="majorEastAsia" w:hAnsiTheme="majorHAnsi" w:cstheme="majorBidi"/>
          <w:color w:val="2F5496" w:themeColor="accent1" w:themeShade="BF"/>
          <w:sz w:val="26"/>
          <w:szCs w:val="26"/>
        </w:rPr>
      </w:pPr>
      <w:r>
        <w:br w:type="page"/>
      </w:r>
    </w:p>
    <w:p w14:paraId="3D67E6E6" w14:textId="7E9D2ECF" w:rsidR="006D0964" w:rsidRDefault="006D0964" w:rsidP="001545CB">
      <w:pPr>
        <w:pStyle w:val="Heading3"/>
      </w:pPr>
      <w:bookmarkStart w:id="11" w:name="_Toc233884402"/>
      <w:r w:rsidRPr="00306EA7">
        <w:lastRenderedPageBreak/>
        <w:t>Accreditation</w:t>
      </w:r>
      <w:bookmarkEnd w:id="11"/>
    </w:p>
    <w:p w14:paraId="239F68AF" w14:textId="77777777" w:rsidR="00306EA7" w:rsidRPr="00306EA7" w:rsidRDefault="00306EA7" w:rsidP="00306EA7"/>
    <w:p w14:paraId="5611DAAC" w14:textId="4B9984E1" w:rsidR="006D0964" w:rsidRPr="0033450D" w:rsidRDefault="006D0964" w:rsidP="00BB618A">
      <w:pPr>
        <w:spacing w:before="81"/>
        <w:ind w:right="-20"/>
        <w:rPr>
          <w:rFonts w:ascii="Aptos" w:hAnsi="Aptos" w:cs="Segoe UI"/>
          <w:sz w:val="22"/>
          <w:szCs w:val="22"/>
        </w:rPr>
      </w:pPr>
      <w:r w:rsidRPr="0033450D">
        <w:rPr>
          <w:rFonts w:ascii="Aptos" w:hAnsi="Aptos" w:cs="Segoe UI"/>
          <w:sz w:val="22"/>
          <w:szCs w:val="22"/>
        </w:rPr>
        <w:t xml:space="preserve">Birkbeck </w:t>
      </w:r>
      <w:r w:rsidR="00E51842" w:rsidRPr="0033450D">
        <w:rPr>
          <w:rFonts w:ascii="Aptos" w:hAnsi="Aptos" w:cs="Segoe UI"/>
          <w:sz w:val="22"/>
          <w:szCs w:val="22"/>
        </w:rPr>
        <w:t xml:space="preserve">provides </w:t>
      </w:r>
      <w:r w:rsidR="00B434C1" w:rsidRPr="0033450D">
        <w:rPr>
          <w:rFonts w:ascii="Aptos" w:hAnsi="Aptos" w:cs="Segoe UI"/>
          <w:sz w:val="22"/>
          <w:szCs w:val="22"/>
        </w:rPr>
        <w:t>external assurances of credit and level of a partner</w:t>
      </w:r>
      <w:r w:rsidR="003D0188" w:rsidRPr="0033450D">
        <w:rPr>
          <w:rFonts w:ascii="Aptos" w:hAnsi="Aptos" w:cs="Segoe UI"/>
          <w:sz w:val="22"/>
          <w:szCs w:val="22"/>
        </w:rPr>
        <w:t>’</w:t>
      </w:r>
      <w:r w:rsidR="00B434C1" w:rsidRPr="0033450D">
        <w:rPr>
          <w:rFonts w:ascii="Aptos" w:hAnsi="Aptos" w:cs="Segoe UI"/>
          <w:sz w:val="22"/>
          <w:szCs w:val="22"/>
        </w:rPr>
        <w:t xml:space="preserve">s </w:t>
      </w:r>
      <w:r w:rsidRPr="0033450D">
        <w:rPr>
          <w:rFonts w:ascii="Aptos" w:hAnsi="Aptos" w:cs="Segoe UI"/>
          <w:sz w:val="22"/>
          <w:szCs w:val="22"/>
        </w:rPr>
        <w:t xml:space="preserve">programme </w:t>
      </w:r>
      <w:r w:rsidR="003D0188" w:rsidRPr="0033450D">
        <w:rPr>
          <w:rFonts w:ascii="Aptos" w:hAnsi="Aptos" w:cs="Segoe UI"/>
          <w:sz w:val="22"/>
          <w:szCs w:val="22"/>
        </w:rPr>
        <w:t>of study</w:t>
      </w:r>
      <w:r w:rsidR="00BB618A" w:rsidRPr="0033450D">
        <w:rPr>
          <w:rFonts w:ascii="Aptos" w:hAnsi="Aptos" w:cs="Segoe UI"/>
          <w:sz w:val="22"/>
          <w:szCs w:val="22"/>
        </w:rPr>
        <w:t xml:space="preserve"> against the Framework of Higher Education Qualifications (FHEQ)</w:t>
      </w:r>
      <w:r w:rsidR="003D0188" w:rsidRPr="0033450D">
        <w:rPr>
          <w:rFonts w:ascii="Aptos" w:hAnsi="Aptos" w:cs="Segoe UI"/>
          <w:sz w:val="22"/>
          <w:szCs w:val="22"/>
        </w:rPr>
        <w:t xml:space="preserve">. Birkbeck </w:t>
      </w:r>
      <w:proofErr w:type="gramStart"/>
      <w:r w:rsidR="00511E6B" w:rsidRPr="0033450D">
        <w:rPr>
          <w:rFonts w:ascii="Aptos" w:hAnsi="Aptos" w:cs="Segoe UI"/>
          <w:sz w:val="22"/>
          <w:szCs w:val="22"/>
        </w:rPr>
        <w:t>has no involvement</w:t>
      </w:r>
      <w:proofErr w:type="gramEnd"/>
      <w:r w:rsidR="00511E6B" w:rsidRPr="0033450D">
        <w:rPr>
          <w:rFonts w:ascii="Aptos" w:hAnsi="Aptos" w:cs="Segoe UI"/>
          <w:sz w:val="22"/>
          <w:szCs w:val="22"/>
        </w:rPr>
        <w:t xml:space="preserve"> in the delivery or assessment of the programme. </w:t>
      </w:r>
      <w:r w:rsidR="008F4D3D" w:rsidRPr="0033450D">
        <w:rPr>
          <w:rFonts w:ascii="Aptos" w:hAnsi="Aptos" w:cs="Segoe UI"/>
          <w:sz w:val="22"/>
          <w:szCs w:val="22"/>
        </w:rPr>
        <w:t>Birk</w:t>
      </w:r>
      <w:r w:rsidR="007A3F09" w:rsidRPr="0033450D">
        <w:rPr>
          <w:rFonts w:ascii="Aptos" w:hAnsi="Aptos" w:cs="Segoe UI"/>
          <w:sz w:val="22"/>
          <w:szCs w:val="22"/>
        </w:rPr>
        <w:t xml:space="preserve">beck </w:t>
      </w:r>
      <w:r w:rsidR="00D25372">
        <w:rPr>
          <w:rFonts w:ascii="Aptos" w:hAnsi="Aptos" w:cs="Segoe UI"/>
          <w:sz w:val="22"/>
          <w:szCs w:val="22"/>
        </w:rPr>
        <w:t>may support the</w:t>
      </w:r>
      <w:r w:rsidR="007A3F09" w:rsidRPr="0033450D">
        <w:rPr>
          <w:rFonts w:ascii="Aptos" w:hAnsi="Aptos" w:cs="Segoe UI"/>
          <w:sz w:val="22"/>
          <w:szCs w:val="22"/>
        </w:rPr>
        <w:t xml:space="preserve"> partner with capturing and monitoring </w:t>
      </w:r>
      <w:r w:rsidR="001B6BD3" w:rsidRPr="0033450D">
        <w:rPr>
          <w:rFonts w:ascii="Aptos" w:hAnsi="Aptos" w:cs="Segoe UI"/>
          <w:sz w:val="22"/>
          <w:szCs w:val="22"/>
        </w:rPr>
        <w:t>of student voice to enable ongoing enhancement of student experience</w:t>
      </w:r>
      <w:r w:rsidR="00BB618A" w:rsidRPr="0033450D">
        <w:rPr>
          <w:rFonts w:ascii="Aptos" w:hAnsi="Aptos" w:cs="Segoe UI"/>
          <w:sz w:val="22"/>
          <w:szCs w:val="22"/>
        </w:rPr>
        <w:t xml:space="preserve">. Students/learners benefit from provision recognised as being equivalent to a UK higher education award. Students/learners do not become Birkbeck alumni on completion of the programme of study. </w:t>
      </w:r>
    </w:p>
    <w:p w14:paraId="05FEDF84" w14:textId="77777777" w:rsidR="006D0964" w:rsidRPr="0033450D" w:rsidRDefault="006D0964" w:rsidP="006D0964">
      <w:pPr>
        <w:spacing w:before="81"/>
        <w:ind w:left="20" w:right="-20" w:hanging="44"/>
        <w:rPr>
          <w:rFonts w:ascii="Aptos" w:hAnsi="Aptos" w:cs="Segoe UI"/>
          <w:sz w:val="22"/>
          <w:szCs w:val="22"/>
        </w:rPr>
      </w:pPr>
    </w:p>
    <w:tbl>
      <w:tblPr>
        <w:tblStyle w:val="TableGrid"/>
        <w:tblW w:w="9662" w:type="dxa"/>
        <w:tblLook w:val="04A0" w:firstRow="1" w:lastRow="0" w:firstColumn="1" w:lastColumn="0" w:noHBand="0" w:noVBand="1"/>
      </w:tblPr>
      <w:tblGrid>
        <w:gridCol w:w="3143"/>
        <w:gridCol w:w="6519"/>
      </w:tblGrid>
      <w:tr w:rsidR="00856BB2" w:rsidRPr="007B71A7" w14:paraId="56717A67" w14:textId="77777777" w:rsidTr="00FB2D48">
        <w:trPr>
          <w:trHeight w:val="578"/>
          <w:tblHeader/>
        </w:trPr>
        <w:tc>
          <w:tcPr>
            <w:tcW w:w="3143" w:type="dxa"/>
            <w:shd w:val="pct12" w:color="auto" w:fill="auto"/>
          </w:tcPr>
          <w:p w14:paraId="1DD17511" w14:textId="77777777" w:rsidR="006D0964" w:rsidRPr="0033450D" w:rsidRDefault="006D0964">
            <w:pPr>
              <w:rPr>
                <w:rFonts w:ascii="Aptos" w:hAnsi="Aptos" w:cs="Segoe UI"/>
                <w:b/>
                <w:bCs/>
                <w:sz w:val="22"/>
                <w:szCs w:val="22"/>
              </w:rPr>
            </w:pPr>
            <w:r w:rsidRPr="0033450D">
              <w:rPr>
                <w:rFonts w:ascii="Aptos" w:hAnsi="Aptos" w:cs="Segoe UI"/>
                <w:b/>
                <w:bCs/>
                <w:sz w:val="22"/>
                <w:szCs w:val="22"/>
              </w:rPr>
              <w:t>Responsibility</w:t>
            </w:r>
          </w:p>
          <w:p w14:paraId="0784C3CD" w14:textId="77777777" w:rsidR="006D0964" w:rsidRPr="0033450D" w:rsidRDefault="006D0964">
            <w:pPr>
              <w:rPr>
                <w:rFonts w:ascii="Aptos" w:hAnsi="Aptos" w:cs="Segoe UI"/>
                <w:sz w:val="22"/>
                <w:szCs w:val="22"/>
              </w:rPr>
            </w:pPr>
          </w:p>
        </w:tc>
        <w:tc>
          <w:tcPr>
            <w:tcW w:w="6519" w:type="dxa"/>
            <w:shd w:val="pct12" w:color="auto" w:fill="auto"/>
          </w:tcPr>
          <w:p w14:paraId="0B5852E9" w14:textId="77777777" w:rsidR="006D0964" w:rsidRPr="0033450D" w:rsidRDefault="006D0964">
            <w:pPr>
              <w:rPr>
                <w:rFonts w:ascii="Aptos" w:hAnsi="Aptos" w:cs="Segoe UI"/>
                <w:b/>
                <w:bCs/>
                <w:sz w:val="22"/>
                <w:szCs w:val="22"/>
              </w:rPr>
            </w:pPr>
            <w:r w:rsidRPr="0033450D">
              <w:rPr>
                <w:rFonts w:ascii="Aptos" w:hAnsi="Aptos" w:cs="Segoe UI"/>
                <w:b/>
                <w:bCs/>
                <w:sz w:val="22"/>
                <w:szCs w:val="22"/>
              </w:rPr>
              <w:t>Approach</w:t>
            </w:r>
          </w:p>
        </w:tc>
      </w:tr>
      <w:tr w:rsidR="00856BB2" w:rsidRPr="007B71A7" w14:paraId="0A05EDAF" w14:textId="77777777" w:rsidTr="00FB2D48">
        <w:trPr>
          <w:trHeight w:val="567"/>
        </w:trPr>
        <w:tc>
          <w:tcPr>
            <w:tcW w:w="3143" w:type="dxa"/>
          </w:tcPr>
          <w:p w14:paraId="5A719F60" w14:textId="77777777" w:rsidR="006D0964" w:rsidRPr="0033450D" w:rsidRDefault="006D0964">
            <w:pPr>
              <w:rPr>
                <w:rFonts w:ascii="Aptos" w:hAnsi="Aptos" w:cs="Segoe UI"/>
                <w:sz w:val="22"/>
                <w:szCs w:val="22"/>
              </w:rPr>
            </w:pPr>
            <w:r w:rsidRPr="0033450D">
              <w:rPr>
                <w:rFonts w:ascii="Aptos" w:hAnsi="Aptos" w:cs="Segoe UI"/>
                <w:b/>
                <w:bCs/>
                <w:sz w:val="22"/>
                <w:szCs w:val="22"/>
              </w:rPr>
              <w:t>Programme Intellectual Property</w:t>
            </w:r>
          </w:p>
        </w:tc>
        <w:tc>
          <w:tcPr>
            <w:tcW w:w="6519" w:type="dxa"/>
          </w:tcPr>
          <w:p w14:paraId="53FC1D89" w14:textId="675BFBF3" w:rsidR="006D0964" w:rsidRPr="0033450D" w:rsidRDefault="006D0964">
            <w:pPr>
              <w:rPr>
                <w:rFonts w:ascii="Aptos" w:hAnsi="Aptos" w:cs="Segoe UI"/>
                <w:b/>
                <w:bCs/>
                <w:sz w:val="22"/>
                <w:szCs w:val="22"/>
              </w:rPr>
            </w:pPr>
            <w:r w:rsidRPr="0033450D">
              <w:rPr>
                <w:rFonts w:ascii="Aptos" w:hAnsi="Aptos" w:cs="Segoe UI"/>
                <w:sz w:val="22"/>
                <w:szCs w:val="22"/>
              </w:rPr>
              <w:t>Partner</w:t>
            </w:r>
            <w:r w:rsidR="007111DC" w:rsidRPr="0033450D">
              <w:rPr>
                <w:rFonts w:ascii="Aptos" w:hAnsi="Aptos" w:cs="Segoe UI"/>
                <w:sz w:val="22"/>
                <w:szCs w:val="22"/>
              </w:rPr>
              <w:t xml:space="preserve"> – BBK to </w:t>
            </w:r>
            <w:r w:rsidR="009A146A" w:rsidRPr="0033450D">
              <w:rPr>
                <w:rFonts w:ascii="Aptos" w:hAnsi="Aptos" w:cs="Segoe UI"/>
                <w:sz w:val="22"/>
                <w:szCs w:val="22"/>
              </w:rPr>
              <w:t xml:space="preserve">undertake Credit </w:t>
            </w:r>
            <w:r w:rsidR="00E51842" w:rsidRPr="0033450D">
              <w:rPr>
                <w:rFonts w:ascii="Aptos" w:hAnsi="Aptos" w:cs="Segoe UI"/>
                <w:sz w:val="22"/>
                <w:szCs w:val="22"/>
              </w:rPr>
              <w:t>R</w:t>
            </w:r>
            <w:r w:rsidR="009A146A" w:rsidRPr="0033450D">
              <w:rPr>
                <w:rFonts w:ascii="Aptos" w:hAnsi="Aptos" w:cs="Segoe UI"/>
                <w:sz w:val="22"/>
                <w:szCs w:val="22"/>
              </w:rPr>
              <w:t xml:space="preserve">ating to </w:t>
            </w:r>
            <w:r w:rsidR="00E51842" w:rsidRPr="0033450D">
              <w:rPr>
                <w:rFonts w:ascii="Aptos" w:hAnsi="Aptos" w:cs="Segoe UI"/>
                <w:sz w:val="22"/>
                <w:szCs w:val="22"/>
              </w:rPr>
              <w:t xml:space="preserve">be assured of </w:t>
            </w:r>
            <w:r w:rsidR="00E51842" w:rsidRPr="0033450D">
              <w:rPr>
                <w:rFonts w:ascii="Aptos" w:hAnsi="Aptos"/>
                <w:sz w:val="22"/>
                <w:szCs w:val="22"/>
              </w:rPr>
              <w:t xml:space="preserve">overall </w:t>
            </w:r>
            <w:r w:rsidR="00E51842" w:rsidRPr="0033450D">
              <w:rPr>
                <w:rFonts w:ascii="Aptos" w:hAnsi="Aptos"/>
                <w:b/>
                <w:bCs/>
                <w:sz w:val="22"/>
                <w:szCs w:val="22"/>
              </w:rPr>
              <w:t>size</w:t>
            </w:r>
            <w:r w:rsidR="00E51842" w:rsidRPr="0033450D">
              <w:rPr>
                <w:rFonts w:ascii="Aptos" w:hAnsi="Aptos"/>
                <w:sz w:val="22"/>
                <w:szCs w:val="22"/>
              </w:rPr>
              <w:t xml:space="preserve"> (credit) and </w:t>
            </w:r>
            <w:r w:rsidR="00E51842" w:rsidRPr="0033450D">
              <w:rPr>
                <w:rFonts w:ascii="Aptos" w:hAnsi="Aptos"/>
                <w:b/>
                <w:bCs/>
                <w:sz w:val="22"/>
                <w:szCs w:val="22"/>
              </w:rPr>
              <w:t>complexity</w:t>
            </w:r>
            <w:r w:rsidR="00E51842" w:rsidRPr="0033450D">
              <w:rPr>
                <w:rFonts w:ascii="Aptos" w:hAnsi="Aptos"/>
                <w:sz w:val="22"/>
                <w:szCs w:val="22"/>
              </w:rPr>
              <w:t xml:space="preserve"> (Level) of curriculum</w:t>
            </w:r>
          </w:p>
        </w:tc>
      </w:tr>
      <w:tr w:rsidR="00856BB2" w:rsidRPr="007B71A7" w14:paraId="5D6188F5" w14:textId="77777777" w:rsidTr="00FB2D48">
        <w:trPr>
          <w:trHeight w:val="288"/>
        </w:trPr>
        <w:tc>
          <w:tcPr>
            <w:tcW w:w="3143" w:type="dxa"/>
          </w:tcPr>
          <w:p w14:paraId="207C0F0B" w14:textId="77777777" w:rsidR="006D0964" w:rsidRPr="0033450D" w:rsidRDefault="006D0964">
            <w:pPr>
              <w:rPr>
                <w:rFonts w:ascii="Aptos" w:hAnsi="Aptos" w:cs="Segoe UI"/>
                <w:sz w:val="22"/>
                <w:szCs w:val="22"/>
              </w:rPr>
            </w:pPr>
            <w:r w:rsidRPr="0033450D">
              <w:rPr>
                <w:rFonts w:ascii="Aptos" w:hAnsi="Aptos" w:cs="Segoe UI"/>
                <w:b/>
                <w:bCs/>
                <w:sz w:val="22"/>
                <w:szCs w:val="22"/>
              </w:rPr>
              <w:t>Programme Delivery and Assessment</w:t>
            </w:r>
          </w:p>
        </w:tc>
        <w:tc>
          <w:tcPr>
            <w:tcW w:w="6519" w:type="dxa"/>
          </w:tcPr>
          <w:p w14:paraId="5259E2E0" w14:textId="77777777" w:rsidR="006D0964" w:rsidRPr="0033450D" w:rsidRDefault="006D0964">
            <w:pPr>
              <w:rPr>
                <w:rFonts w:ascii="Aptos" w:hAnsi="Aptos" w:cs="Segoe UI"/>
                <w:sz w:val="22"/>
                <w:szCs w:val="22"/>
              </w:rPr>
            </w:pPr>
            <w:r w:rsidRPr="0033450D">
              <w:rPr>
                <w:rFonts w:ascii="Aptos" w:hAnsi="Aptos" w:cs="Segoe UI"/>
                <w:sz w:val="22"/>
                <w:szCs w:val="22"/>
              </w:rPr>
              <w:t>Partner</w:t>
            </w:r>
          </w:p>
        </w:tc>
      </w:tr>
      <w:tr w:rsidR="00856BB2" w:rsidRPr="007B71A7" w14:paraId="5E6477D0" w14:textId="77777777" w:rsidTr="00FB2D48">
        <w:trPr>
          <w:trHeight w:val="288"/>
        </w:trPr>
        <w:tc>
          <w:tcPr>
            <w:tcW w:w="3143" w:type="dxa"/>
          </w:tcPr>
          <w:p w14:paraId="01D01A31" w14:textId="77777777" w:rsidR="006D0964" w:rsidRPr="0033450D" w:rsidRDefault="006D0964">
            <w:pPr>
              <w:rPr>
                <w:rFonts w:ascii="Aptos" w:hAnsi="Aptos" w:cs="Segoe UI"/>
                <w:sz w:val="22"/>
                <w:szCs w:val="22"/>
              </w:rPr>
            </w:pPr>
            <w:r w:rsidRPr="0033450D">
              <w:rPr>
                <w:rFonts w:ascii="Aptos" w:hAnsi="Aptos" w:cs="Segoe UI"/>
                <w:b/>
                <w:bCs/>
                <w:sz w:val="22"/>
                <w:szCs w:val="22"/>
              </w:rPr>
              <w:t>Award</w:t>
            </w:r>
          </w:p>
        </w:tc>
        <w:tc>
          <w:tcPr>
            <w:tcW w:w="6519" w:type="dxa"/>
          </w:tcPr>
          <w:p w14:paraId="27896E98" w14:textId="66660C51" w:rsidR="006D0964" w:rsidRPr="0033450D" w:rsidRDefault="005C0E6E">
            <w:pPr>
              <w:rPr>
                <w:rFonts w:ascii="Aptos" w:hAnsi="Aptos" w:cs="Segoe UI"/>
                <w:sz w:val="22"/>
                <w:szCs w:val="22"/>
              </w:rPr>
            </w:pPr>
            <w:r w:rsidRPr="0033450D">
              <w:rPr>
                <w:rFonts w:ascii="Aptos" w:hAnsi="Aptos" w:cs="Segoe UI"/>
                <w:sz w:val="22"/>
                <w:szCs w:val="22"/>
              </w:rPr>
              <w:t>Partner</w:t>
            </w:r>
          </w:p>
        </w:tc>
      </w:tr>
      <w:tr w:rsidR="00856BB2" w:rsidRPr="007B71A7" w14:paraId="58A73EC6" w14:textId="77777777" w:rsidTr="00FB2D48">
        <w:trPr>
          <w:trHeight w:val="288"/>
        </w:trPr>
        <w:tc>
          <w:tcPr>
            <w:tcW w:w="3143" w:type="dxa"/>
          </w:tcPr>
          <w:p w14:paraId="4F55590D" w14:textId="77777777" w:rsidR="006D0964" w:rsidRPr="0033450D" w:rsidRDefault="006D0964">
            <w:pPr>
              <w:rPr>
                <w:rFonts w:ascii="Aptos" w:hAnsi="Aptos" w:cs="Segoe UI"/>
                <w:sz w:val="22"/>
                <w:szCs w:val="22"/>
              </w:rPr>
            </w:pPr>
            <w:r w:rsidRPr="0033450D">
              <w:rPr>
                <w:rFonts w:ascii="Aptos" w:hAnsi="Aptos" w:cs="Segoe UI"/>
                <w:b/>
                <w:bCs/>
                <w:sz w:val="22"/>
                <w:szCs w:val="22"/>
              </w:rPr>
              <w:t>Academic regulations and policies</w:t>
            </w:r>
          </w:p>
        </w:tc>
        <w:tc>
          <w:tcPr>
            <w:tcW w:w="6519" w:type="dxa"/>
          </w:tcPr>
          <w:p w14:paraId="1846368B" w14:textId="6D443204" w:rsidR="006D0964" w:rsidRPr="0033450D" w:rsidRDefault="005C0E6E">
            <w:pPr>
              <w:rPr>
                <w:rFonts w:ascii="Aptos" w:hAnsi="Aptos" w:cs="Segoe UI"/>
                <w:sz w:val="22"/>
                <w:szCs w:val="22"/>
              </w:rPr>
            </w:pPr>
            <w:r w:rsidRPr="0033450D">
              <w:rPr>
                <w:rFonts w:ascii="Aptos" w:hAnsi="Aptos" w:cs="Segoe UI"/>
                <w:sz w:val="22"/>
                <w:szCs w:val="22"/>
              </w:rPr>
              <w:t>Partner</w:t>
            </w:r>
          </w:p>
        </w:tc>
      </w:tr>
      <w:tr w:rsidR="00856BB2" w:rsidRPr="007B71A7" w14:paraId="0536176E" w14:textId="77777777" w:rsidTr="00FB2D48">
        <w:trPr>
          <w:trHeight w:val="288"/>
        </w:trPr>
        <w:tc>
          <w:tcPr>
            <w:tcW w:w="3143" w:type="dxa"/>
          </w:tcPr>
          <w:p w14:paraId="107BC96B" w14:textId="5235241F" w:rsidR="001A38D6" w:rsidRPr="0033450D" w:rsidRDefault="001A38D6">
            <w:pPr>
              <w:rPr>
                <w:rFonts w:ascii="Aptos" w:hAnsi="Aptos" w:cs="Segoe UI"/>
                <w:b/>
                <w:bCs/>
                <w:sz w:val="22"/>
                <w:szCs w:val="22"/>
              </w:rPr>
            </w:pPr>
            <w:r w:rsidRPr="0033450D">
              <w:rPr>
                <w:rFonts w:ascii="Aptos" w:hAnsi="Aptos" w:cs="Segoe UI"/>
                <w:b/>
                <w:bCs/>
                <w:sz w:val="22"/>
                <w:szCs w:val="22"/>
              </w:rPr>
              <w:t>Student contractual relationship</w:t>
            </w:r>
          </w:p>
        </w:tc>
        <w:tc>
          <w:tcPr>
            <w:tcW w:w="6519" w:type="dxa"/>
          </w:tcPr>
          <w:p w14:paraId="77EAC936" w14:textId="330AB7D4" w:rsidR="001A38D6" w:rsidRPr="0033450D" w:rsidRDefault="001A38D6">
            <w:pPr>
              <w:rPr>
                <w:rFonts w:ascii="Aptos" w:hAnsi="Aptos" w:cs="Segoe UI"/>
                <w:sz w:val="22"/>
                <w:szCs w:val="22"/>
              </w:rPr>
            </w:pPr>
            <w:r w:rsidRPr="0033450D">
              <w:rPr>
                <w:rFonts w:ascii="Aptos" w:hAnsi="Aptos" w:cs="Segoe UI"/>
                <w:sz w:val="22"/>
                <w:szCs w:val="22"/>
              </w:rPr>
              <w:t>Partner</w:t>
            </w:r>
          </w:p>
        </w:tc>
      </w:tr>
      <w:tr w:rsidR="00856BB2" w:rsidRPr="007B71A7" w14:paraId="63023494" w14:textId="77777777" w:rsidTr="00FB2D48">
        <w:trPr>
          <w:trHeight w:val="278"/>
        </w:trPr>
        <w:tc>
          <w:tcPr>
            <w:tcW w:w="3143" w:type="dxa"/>
          </w:tcPr>
          <w:p w14:paraId="23200853" w14:textId="77777777" w:rsidR="006D0964" w:rsidRPr="0033450D" w:rsidRDefault="006D0964">
            <w:pPr>
              <w:rPr>
                <w:rFonts w:ascii="Aptos" w:hAnsi="Aptos" w:cs="Segoe UI"/>
                <w:sz w:val="22"/>
                <w:szCs w:val="22"/>
              </w:rPr>
            </w:pPr>
            <w:r w:rsidRPr="0033450D">
              <w:rPr>
                <w:rFonts w:ascii="Aptos" w:hAnsi="Aptos" w:cs="Segoe UI"/>
                <w:b/>
                <w:bCs/>
                <w:sz w:val="22"/>
                <w:szCs w:val="22"/>
              </w:rPr>
              <w:t>Student Protection Plan</w:t>
            </w:r>
          </w:p>
        </w:tc>
        <w:tc>
          <w:tcPr>
            <w:tcW w:w="6519" w:type="dxa"/>
          </w:tcPr>
          <w:p w14:paraId="1EEC1C31" w14:textId="6C3FB3D8" w:rsidR="006D0964" w:rsidRPr="0033450D" w:rsidRDefault="006D0964">
            <w:pPr>
              <w:rPr>
                <w:rFonts w:ascii="Aptos" w:hAnsi="Aptos" w:cs="Segoe UI"/>
                <w:sz w:val="22"/>
                <w:szCs w:val="22"/>
              </w:rPr>
            </w:pPr>
            <w:r w:rsidRPr="0033450D">
              <w:rPr>
                <w:rFonts w:ascii="Aptos" w:hAnsi="Aptos" w:cs="Segoe UI"/>
                <w:sz w:val="22"/>
                <w:szCs w:val="22"/>
              </w:rPr>
              <w:t>Partner</w:t>
            </w:r>
          </w:p>
        </w:tc>
      </w:tr>
      <w:tr w:rsidR="00856BB2" w:rsidRPr="007B71A7" w14:paraId="6D3180AF" w14:textId="77777777" w:rsidTr="00FB2D48">
        <w:trPr>
          <w:trHeight w:val="288"/>
        </w:trPr>
        <w:tc>
          <w:tcPr>
            <w:tcW w:w="3143" w:type="dxa"/>
          </w:tcPr>
          <w:p w14:paraId="66A7F51E" w14:textId="77777777" w:rsidR="006D0964" w:rsidRPr="0033450D" w:rsidRDefault="006D0964">
            <w:pPr>
              <w:rPr>
                <w:rFonts w:ascii="Aptos" w:hAnsi="Aptos" w:cs="Segoe UI"/>
                <w:sz w:val="22"/>
                <w:szCs w:val="22"/>
              </w:rPr>
            </w:pPr>
            <w:r w:rsidRPr="0033450D">
              <w:rPr>
                <w:rFonts w:ascii="Aptos" w:hAnsi="Aptos" w:cs="Segoe UI"/>
                <w:b/>
                <w:bCs/>
                <w:sz w:val="22"/>
                <w:szCs w:val="22"/>
              </w:rPr>
              <w:t>Birkbeck approval process</w:t>
            </w:r>
          </w:p>
        </w:tc>
        <w:tc>
          <w:tcPr>
            <w:tcW w:w="6519" w:type="dxa"/>
          </w:tcPr>
          <w:p w14:paraId="54737A8E" w14:textId="1832E2B2" w:rsidR="006D0964" w:rsidRPr="0033450D" w:rsidRDefault="002A4E71">
            <w:pPr>
              <w:rPr>
                <w:rFonts w:ascii="Aptos" w:hAnsi="Aptos" w:cs="Segoe UI"/>
                <w:sz w:val="22"/>
                <w:szCs w:val="22"/>
              </w:rPr>
            </w:pPr>
            <w:r w:rsidRPr="0033450D">
              <w:rPr>
                <w:rFonts w:ascii="Aptos" w:hAnsi="Aptos" w:cs="Segoe UI"/>
                <w:sz w:val="22"/>
                <w:szCs w:val="22"/>
              </w:rPr>
              <w:t>Stage 0, 1 and 2 processes apply</w:t>
            </w:r>
          </w:p>
        </w:tc>
      </w:tr>
      <w:tr w:rsidR="00856BB2" w:rsidRPr="007B71A7" w14:paraId="20EEF87E" w14:textId="77777777" w:rsidTr="00FB2D48">
        <w:trPr>
          <w:trHeight w:val="288"/>
        </w:trPr>
        <w:tc>
          <w:tcPr>
            <w:tcW w:w="3143" w:type="dxa"/>
          </w:tcPr>
          <w:p w14:paraId="1F22B762" w14:textId="77777777" w:rsidR="006D0964" w:rsidRPr="0033450D" w:rsidRDefault="006D0964">
            <w:pPr>
              <w:rPr>
                <w:rFonts w:ascii="Aptos" w:hAnsi="Aptos" w:cs="Segoe UI"/>
                <w:sz w:val="22"/>
                <w:szCs w:val="22"/>
              </w:rPr>
            </w:pPr>
            <w:r w:rsidRPr="0033450D">
              <w:rPr>
                <w:rFonts w:ascii="Aptos" w:hAnsi="Aptos" w:cs="Segoe UI"/>
                <w:b/>
                <w:bCs/>
                <w:sz w:val="22"/>
                <w:szCs w:val="22"/>
              </w:rPr>
              <w:t xml:space="preserve">Birkbeck focus </w:t>
            </w:r>
            <w:proofErr w:type="gramStart"/>
            <w:r w:rsidRPr="0033450D">
              <w:rPr>
                <w:rFonts w:ascii="Aptos" w:hAnsi="Aptos" w:cs="Segoe UI"/>
                <w:b/>
                <w:bCs/>
                <w:sz w:val="22"/>
                <w:szCs w:val="22"/>
              </w:rPr>
              <w:t>in</w:t>
            </w:r>
            <w:proofErr w:type="gramEnd"/>
            <w:r w:rsidRPr="0033450D">
              <w:rPr>
                <w:rFonts w:ascii="Aptos" w:hAnsi="Aptos" w:cs="Segoe UI"/>
                <w:b/>
                <w:bCs/>
                <w:sz w:val="22"/>
                <w:szCs w:val="22"/>
              </w:rPr>
              <w:t xml:space="preserve"> the Stage 2 process</w:t>
            </w:r>
          </w:p>
        </w:tc>
        <w:tc>
          <w:tcPr>
            <w:tcW w:w="6519" w:type="dxa"/>
          </w:tcPr>
          <w:p w14:paraId="11E1DD2E" w14:textId="77777777" w:rsidR="006D0964" w:rsidRPr="0033450D" w:rsidRDefault="006D0964">
            <w:pPr>
              <w:rPr>
                <w:rFonts w:ascii="Aptos" w:hAnsi="Aptos" w:cs="Segoe UI"/>
                <w:sz w:val="22"/>
                <w:szCs w:val="22"/>
              </w:rPr>
            </w:pPr>
            <w:r w:rsidRPr="0033450D">
              <w:rPr>
                <w:rFonts w:ascii="Aptos" w:hAnsi="Aptos" w:cs="Segoe UI"/>
                <w:sz w:val="22"/>
                <w:szCs w:val="22"/>
              </w:rPr>
              <w:t>All aspects of the programme design, delivery, support, assessment, resources, staff</w:t>
            </w:r>
          </w:p>
        </w:tc>
      </w:tr>
      <w:tr w:rsidR="00856BB2" w:rsidRPr="007B71A7" w14:paraId="770A9098" w14:textId="77777777" w:rsidTr="00FB2D48">
        <w:trPr>
          <w:trHeight w:val="288"/>
        </w:trPr>
        <w:tc>
          <w:tcPr>
            <w:tcW w:w="3143" w:type="dxa"/>
          </w:tcPr>
          <w:p w14:paraId="0ABFB7E4" w14:textId="77777777" w:rsidR="006D0964" w:rsidRPr="0033450D" w:rsidRDefault="006D0964">
            <w:pPr>
              <w:rPr>
                <w:rFonts w:ascii="Aptos" w:hAnsi="Aptos" w:cs="Segoe UI"/>
                <w:sz w:val="22"/>
                <w:szCs w:val="22"/>
              </w:rPr>
            </w:pPr>
            <w:r w:rsidRPr="0033450D">
              <w:rPr>
                <w:rFonts w:ascii="Aptos" w:hAnsi="Aptos" w:cs="Segoe UI"/>
                <w:b/>
                <w:bCs/>
                <w:sz w:val="22"/>
                <w:szCs w:val="22"/>
              </w:rPr>
              <w:t>Student data and statutory returns</w:t>
            </w:r>
          </w:p>
        </w:tc>
        <w:tc>
          <w:tcPr>
            <w:tcW w:w="6519" w:type="dxa"/>
          </w:tcPr>
          <w:p w14:paraId="77FE6F8E" w14:textId="77777777" w:rsidR="006D0964" w:rsidRPr="0033450D" w:rsidRDefault="006D0964">
            <w:pPr>
              <w:rPr>
                <w:rFonts w:ascii="Aptos" w:hAnsi="Aptos" w:cs="Segoe UI"/>
                <w:sz w:val="22"/>
                <w:szCs w:val="22"/>
              </w:rPr>
            </w:pPr>
            <w:r w:rsidRPr="0033450D">
              <w:rPr>
                <w:rFonts w:ascii="Aptos" w:hAnsi="Aptos" w:cs="Segoe UI"/>
                <w:sz w:val="22"/>
                <w:szCs w:val="22"/>
              </w:rPr>
              <w:t>Partner</w:t>
            </w:r>
          </w:p>
        </w:tc>
      </w:tr>
      <w:tr w:rsidR="00856BB2" w:rsidRPr="007B71A7" w14:paraId="6C37905E" w14:textId="77777777" w:rsidTr="00FB2D48">
        <w:trPr>
          <w:trHeight w:val="578"/>
        </w:trPr>
        <w:tc>
          <w:tcPr>
            <w:tcW w:w="3143" w:type="dxa"/>
          </w:tcPr>
          <w:p w14:paraId="19860B97" w14:textId="1B05D8FA" w:rsidR="00E02D20" w:rsidRPr="0033450D" w:rsidRDefault="00E02D20">
            <w:pPr>
              <w:rPr>
                <w:rFonts w:ascii="Aptos" w:hAnsi="Aptos" w:cs="Segoe UI"/>
                <w:b/>
                <w:bCs/>
                <w:sz w:val="22"/>
                <w:szCs w:val="22"/>
              </w:rPr>
            </w:pPr>
            <w:r w:rsidRPr="0033450D">
              <w:rPr>
                <w:rFonts w:ascii="Aptos" w:hAnsi="Aptos" w:cs="Segoe UI"/>
                <w:b/>
                <w:bCs/>
                <w:sz w:val="22"/>
                <w:szCs w:val="22"/>
              </w:rPr>
              <w:t>Monitoring</w:t>
            </w:r>
          </w:p>
        </w:tc>
        <w:tc>
          <w:tcPr>
            <w:tcW w:w="6519" w:type="dxa"/>
          </w:tcPr>
          <w:p w14:paraId="46775D00" w14:textId="3A473544" w:rsidR="00E02D20" w:rsidRPr="0033450D" w:rsidRDefault="00E02D20">
            <w:pPr>
              <w:rPr>
                <w:rFonts w:ascii="Aptos" w:hAnsi="Aptos" w:cs="Segoe UI"/>
                <w:sz w:val="22"/>
                <w:szCs w:val="22"/>
              </w:rPr>
            </w:pPr>
            <w:r w:rsidRPr="0033450D">
              <w:rPr>
                <w:rFonts w:ascii="Aptos" w:hAnsi="Aptos" w:cs="Segoe UI"/>
                <w:sz w:val="22"/>
                <w:szCs w:val="22"/>
              </w:rPr>
              <w:t xml:space="preserve">Annual </w:t>
            </w:r>
            <w:r w:rsidR="0056535E" w:rsidRPr="0033450D">
              <w:rPr>
                <w:rFonts w:ascii="Aptos" w:hAnsi="Aptos" w:cs="Segoe UI"/>
                <w:sz w:val="22"/>
                <w:szCs w:val="22"/>
              </w:rPr>
              <w:t xml:space="preserve">review </w:t>
            </w:r>
            <w:r w:rsidR="007111DC" w:rsidRPr="0033450D">
              <w:rPr>
                <w:rFonts w:ascii="Aptos" w:hAnsi="Aptos" w:cs="Segoe UI"/>
                <w:sz w:val="22"/>
                <w:szCs w:val="22"/>
              </w:rPr>
              <w:t xml:space="preserve">(internal or external reviewers) </w:t>
            </w:r>
            <w:r w:rsidR="0056535E" w:rsidRPr="0033450D">
              <w:rPr>
                <w:rFonts w:ascii="Aptos" w:hAnsi="Aptos" w:cs="Segoe UI"/>
                <w:sz w:val="22"/>
                <w:szCs w:val="22"/>
              </w:rPr>
              <w:t>to contribute to</w:t>
            </w:r>
            <w:r w:rsidR="007111DC" w:rsidRPr="0033450D">
              <w:rPr>
                <w:rFonts w:ascii="Aptos" w:hAnsi="Aptos" w:cs="Segoe UI"/>
                <w:sz w:val="22"/>
                <w:szCs w:val="22"/>
              </w:rPr>
              <w:t xml:space="preserve"> ensuring currency and accessibility of curriculum</w:t>
            </w:r>
          </w:p>
        </w:tc>
      </w:tr>
      <w:tr w:rsidR="006D0964" w:rsidRPr="007B71A7" w14:paraId="2C8CBFCF" w14:textId="77777777" w:rsidTr="00FB2D48">
        <w:trPr>
          <w:trHeight w:val="288"/>
        </w:trPr>
        <w:tc>
          <w:tcPr>
            <w:tcW w:w="3143" w:type="dxa"/>
          </w:tcPr>
          <w:p w14:paraId="6B5A1AB7" w14:textId="77777777" w:rsidR="006D0964" w:rsidRPr="0033450D" w:rsidRDefault="006D0964">
            <w:pPr>
              <w:rPr>
                <w:rFonts w:ascii="Aptos" w:hAnsi="Aptos" w:cs="Segoe UI"/>
                <w:sz w:val="22"/>
                <w:szCs w:val="22"/>
              </w:rPr>
            </w:pPr>
            <w:r w:rsidRPr="0033450D">
              <w:rPr>
                <w:rFonts w:ascii="Aptos" w:hAnsi="Aptos" w:cs="Segoe UI"/>
                <w:b/>
                <w:bCs/>
                <w:sz w:val="22"/>
                <w:szCs w:val="22"/>
              </w:rPr>
              <w:t>Overall risk level</w:t>
            </w:r>
          </w:p>
        </w:tc>
        <w:tc>
          <w:tcPr>
            <w:tcW w:w="6519" w:type="dxa"/>
          </w:tcPr>
          <w:p w14:paraId="7ABFD64A" w14:textId="367436A7" w:rsidR="006D0964" w:rsidRPr="0033450D" w:rsidRDefault="005C0E6E">
            <w:pPr>
              <w:rPr>
                <w:rFonts w:ascii="Aptos" w:hAnsi="Aptos" w:cs="Segoe UI"/>
                <w:sz w:val="22"/>
                <w:szCs w:val="22"/>
              </w:rPr>
            </w:pPr>
            <w:r w:rsidRPr="0033450D">
              <w:rPr>
                <w:rFonts w:ascii="Aptos" w:hAnsi="Aptos" w:cs="Segoe UI"/>
                <w:sz w:val="22"/>
                <w:szCs w:val="22"/>
              </w:rPr>
              <w:t>Low</w:t>
            </w:r>
          </w:p>
        </w:tc>
      </w:tr>
    </w:tbl>
    <w:p w14:paraId="2EA72378" w14:textId="77777777" w:rsidR="006D0964" w:rsidRPr="0033450D" w:rsidRDefault="006D0964" w:rsidP="006D0964">
      <w:pPr>
        <w:spacing w:before="81"/>
        <w:ind w:left="20" w:right="-20" w:hanging="44"/>
        <w:rPr>
          <w:rFonts w:ascii="Aptos" w:hAnsi="Aptos" w:cs="Segoe UI"/>
          <w:sz w:val="22"/>
          <w:szCs w:val="22"/>
        </w:rPr>
      </w:pPr>
    </w:p>
    <w:p w14:paraId="5D088011" w14:textId="77777777" w:rsidR="006D0964" w:rsidRPr="0033450D" w:rsidRDefault="006D0964" w:rsidP="006D0964">
      <w:pPr>
        <w:rPr>
          <w:rFonts w:ascii="Aptos" w:hAnsi="Aptos" w:cs="Segoe UI"/>
          <w:b/>
          <w:bCs/>
          <w:sz w:val="22"/>
          <w:szCs w:val="22"/>
        </w:rPr>
      </w:pPr>
    </w:p>
    <w:p w14:paraId="55ACC99A" w14:textId="77777777" w:rsidR="00193849" w:rsidRDefault="00193849">
      <w:pPr>
        <w:rPr>
          <w:rFonts w:ascii="Aptos" w:hAnsi="Aptos" w:cs="Segoe UI"/>
          <w:b/>
          <w:bCs/>
          <w:sz w:val="22"/>
          <w:szCs w:val="22"/>
        </w:rPr>
      </w:pPr>
      <w:r w:rsidRPr="0033450D">
        <w:rPr>
          <w:rFonts w:ascii="Aptos" w:hAnsi="Aptos" w:cs="Segoe UI"/>
          <w:b/>
          <w:bCs/>
          <w:sz w:val="22"/>
          <w:szCs w:val="22"/>
        </w:rPr>
        <w:br w:type="page"/>
      </w:r>
    </w:p>
    <w:p w14:paraId="0952BA26" w14:textId="77777777" w:rsidR="00DE010D" w:rsidRPr="00306EA7" w:rsidRDefault="00DE010D" w:rsidP="001545CB">
      <w:pPr>
        <w:pStyle w:val="Heading3"/>
      </w:pPr>
      <w:bookmarkStart w:id="12" w:name="_Toc233884403"/>
      <w:r w:rsidRPr="00306EA7">
        <w:lastRenderedPageBreak/>
        <w:t>Research Degree Co-</w:t>
      </w:r>
      <w:proofErr w:type="spellStart"/>
      <w:r w:rsidRPr="00306EA7">
        <w:t>tutelle</w:t>
      </w:r>
      <w:bookmarkEnd w:id="12"/>
      <w:proofErr w:type="spellEnd"/>
    </w:p>
    <w:p w14:paraId="45BBF555" w14:textId="77777777" w:rsidR="00DE010D" w:rsidRPr="0033450D" w:rsidRDefault="00DE010D" w:rsidP="00DE010D">
      <w:pPr>
        <w:rPr>
          <w:rFonts w:ascii="Aptos" w:hAnsi="Aptos" w:cs="Segoe UI"/>
          <w:sz w:val="22"/>
          <w:szCs w:val="22"/>
        </w:rPr>
      </w:pPr>
    </w:p>
    <w:p w14:paraId="56BF9A31" w14:textId="2374D753" w:rsidR="00DE010D" w:rsidRPr="0033450D" w:rsidRDefault="00DE010D" w:rsidP="00DE010D">
      <w:pPr>
        <w:rPr>
          <w:rFonts w:ascii="Aptos" w:hAnsi="Aptos" w:cs="Segoe UI"/>
          <w:sz w:val="22"/>
          <w:szCs w:val="22"/>
        </w:rPr>
      </w:pPr>
      <w:r w:rsidRPr="0033450D">
        <w:rPr>
          <w:rFonts w:ascii="Aptos" w:hAnsi="Aptos" w:cs="Segoe UI"/>
          <w:sz w:val="22"/>
          <w:szCs w:val="22"/>
        </w:rPr>
        <w:t>A Birkbeck research degree student is jointly registered at Birkbeck and a partner institution, normally outside of the UK</w:t>
      </w:r>
      <w:r w:rsidR="003B5DAC">
        <w:rPr>
          <w:rFonts w:ascii="Aptos" w:hAnsi="Aptos" w:cs="Segoe UI"/>
          <w:sz w:val="22"/>
          <w:szCs w:val="22"/>
        </w:rPr>
        <w:t>.</w:t>
      </w:r>
    </w:p>
    <w:p w14:paraId="0F8B1B40" w14:textId="77777777" w:rsidR="00DE010D" w:rsidRPr="0033450D" w:rsidRDefault="00DE010D" w:rsidP="00DE010D">
      <w:pPr>
        <w:rPr>
          <w:rFonts w:ascii="Aptos" w:hAnsi="Aptos" w:cs="Segoe UI"/>
          <w:sz w:val="22"/>
          <w:szCs w:val="22"/>
        </w:rPr>
      </w:pPr>
    </w:p>
    <w:tbl>
      <w:tblPr>
        <w:tblStyle w:val="TableGrid"/>
        <w:tblW w:w="0" w:type="auto"/>
        <w:tblLook w:val="04A0" w:firstRow="1" w:lastRow="0" w:firstColumn="1" w:lastColumn="0" w:noHBand="0" w:noVBand="1"/>
      </w:tblPr>
      <w:tblGrid>
        <w:gridCol w:w="3426"/>
        <w:gridCol w:w="6399"/>
      </w:tblGrid>
      <w:tr w:rsidR="00DE010D" w:rsidRPr="007B71A7" w14:paraId="0C652A44" w14:textId="77777777" w:rsidTr="00FB2D48">
        <w:trPr>
          <w:trHeight w:val="307"/>
        </w:trPr>
        <w:tc>
          <w:tcPr>
            <w:tcW w:w="3426" w:type="dxa"/>
          </w:tcPr>
          <w:p w14:paraId="66A12ABC" w14:textId="77777777" w:rsidR="00DE010D" w:rsidRPr="0033450D" w:rsidRDefault="00DE010D">
            <w:pPr>
              <w:rPr>
                <w:rFonts w:ascii="Aptos" w:hAnsi="Aptos" w:cs="Segoe UI"/>
                <w:b/>
                <w:bCs/>
                <w:sz w:val="22"/>
                <w:szCs w:val="22"/>
              </w:rPr>
            </w:pPr>
            <w:r w:rsidRPr="0033450D">
              <w:rPr>
                <w:rFonts w:ascii="Aptos" w:hAnsi="Aptos" w:cs="Segoe UI"/>
                <w:b/>
                <w:bCs/>
                <w:sz w:val="22"/>
                <w:szCs w:val="22"/>
              </w:rPr>
              <w:t>Responsibility</w:t>
            </w:r>
          </w:p>
          <w:p w14:paraId="4FF148E2" w14:textId="77777777" w:rsidR="00DE010D" w:rsidRPr="0033450D" w:rsidRDefault="00DE010D">
            <w:pPr>
              <w:rPr>
                <w:rFonts w:ascii="Aptos" w:hAnsi="Aptos" w:cs="Segoe UI"/>
                <w:sz w:val="22"/>
                <w:szCs w:val="22"/>
              </w:rPr>
            </w:pPr>
          </w:p>
        </w:tc>
        <w:tc>
          <w:tcPr>
            <w:tcW w:w="6399" w:type="dxa"/>
          </w:tcPr>
          <w:p w14:paraId="7685F717" w14:textId="77777777" w:rsidR="00DE010D" w:rsidRPr="0033450D" w:rsidRDefault="00DE010D">
            <w:pPr>
              <w:rPr>
                <w:rFonts w:ascii="Aptos" w:hAnsi="Aptos" w:cs="Segoe UI"/>
                <w:b/>
                <w:bCs/>
                <w:sz w:val="22"/>
                <w:szCs w:val="22"/>
              </w:rPr>
            </w:pPr>
            <w:r w:rsidRPr="0033450D">
              <w:rPr>
                <w:rFonts w:ascii="Aptos" w:hAnsi="Aptos" w:cs="Segoe UI"/>
                <w:b/>
                <w:bCs/>
                <w:sz w:val="22"/>
                <w:szCs w:val="22"/>
              </w:rPr>
              <w:t>Approach</w:t>
            </w:r>
          </w:p>
        </w:tc>
      </w:tr>
      <w:tr w:rsidR="00DE010D" w:rsidRPr="007B71A7" w14:paraId="3DC4785D" w14:textId="77777777" w:rsidTr="00FB2D48">
        <w:trPr>
          <w:trHeight w:val="307"/>
        </w:trPr>
        <w:tc>
          <w:tcPr>
            <w:tcW w:w="3426" w:type="dxa"/>
          </w:tcPr>
          <w:p w14:paraId="20131E63" w14:textId="77777777" w:rsidR="00DE010D" w:rsidRPr="0033450D" w:rsidRDefault="00DE010D">
            <w:pPr>
              <w:rPr>
                <w:rFonts w:ascii="Aptos" w:hAnsi="Aptos" w:cs="Segoe UI"/>
                <w:sz w:val="22"/>
                <w:szCs w:val="22"/>
              </w:rPr>
            </w:pPr>
            <w:r w:rsidRPr="0033450D">
              <w:rPr>
                <w:rFonts w:ascii="Aptos" w:hAnsi="Aptos" w:cs="Segoe UI"/>
                <w:b/>
                <w:bCs/>
                <w:sz w:val="22"/>
                <w:szCs w:val="22"/>
              </w:rPr>
              <w:t>Programme Intellectual Property</w:t>
            </w:r>
          </w:p>
        </w:tc>
        <w:tc>
          <w:tcPr>
            <w:tcW w:w="6399" w:type="dxa"/>
          </w:tcPr>
          <w:p w14:paraId="188191D6" w14:textId="77777777" w:rsidR="00DE010D" w:rsidRPr="0033450D" w:rsidRDefault="00DE010D">
            <w:pPr>
              <w:rPr>
                <w:rFonts w:ascii="Aptos" w:hAnsi="Aptos" w:cs="Segoe UI"/>
                <w:sz w:val="22"/>
                <w:szCs w:val="22"/>
              </w:rPr>
            </w:pPr>
            <w:r w:rsidRPr="0033450D">
              <w:rPr>
                <w:rFonts w:ascii="Aptos" w:hAnsi="Aptos" w:cs="Segoe UI"/>
                <w:sz w:val="22"/>
                <w:szCs w:val="22"/>
              </w:rPr>
              <w:t>Intellectual property is shared if the programme is designed jointly</w:t>
            </w:r>
          </w:p>
        </w:tc>
      </w:tr>
      <w:tr w:rsidR="00DE010D" w:rsidRPr="007B71A7" w14:paraId="56D8E752" w14:textId="77777777" w:rsidTr="00FB2D48">
        <w:trPr>
          <w:trHeight w:val="307"/>
        </w:trPr>
        <w:tc>
          <w:tcPr>
            <w:tcW w:w="3426" w:type="dxa"/>
          </w:tcPr>
          <w:p w14:paraId="354A5569" w14:textId="77777777" w:rsidR="00DE010D" w:rsidRPr="0033450D" w:rsidRDefault="00DE010D">
            <w:pPr>
              <w:rPr>
                <w:rFonts w:ascii="Aptos" w:hAnsi="Aptos" w:cs="Segoe UI"/>
                <w:sz w:val="22"/>
                <w:szCs w:val="22"/>
              </w:rPr>
            </w:pPr>
            <w:r w:rsidRPr="0033450D">
              <w:rPr>
                <w:rFonts w:ascii="Aptos" w:hAnsi="Aptos" w:cs="Segoe UI"/>
                <w:b/>
                <w:bCs/>
                <w:sz w:val="22"/>
                <w:szCs w:val="22"/>
              </w:rPr>
              <w:t>Programme Delivery and Assessment</w:t>
            </w:r>
          </w:p>
        </w:tc>
        <w:tc>
          <w:tcPr>
            <w:tcW w:w="6399" w:type="dxa"/>
          </w:tcPr>
          <w:p w14:paraId="7FBB7DE0" w14:textId="77777777" w:rsidR="00DE010D" w:rsidRPr="0033450D" w:rsidRDefault="00DE010D">
            <w:pPr>
              <w:rPr>
                <w:rFonts w:ascii="Aptos" w:hAnsi="Aptos" w:cs="Segoe UI"/>
                <w:sz w:val="22"/>
                <w:szCs w:val="22"/>
              </w:rPr>
            </w:pPr>
            <w:r w:rsidRPr="0033450D">
              <w:rPr>
                <w:rFonts w:ascii="Aptos" w:hAnsi="Aptos" w:cs="Segoe UI"/>
                <w:sz w:val="22"/>
                <w:szCs w:val="22"/>
              </w:rPr>
              <w:t>Jointly between Birkbeck and the partner with partners contributing in broadly equal proportions. A single description of the programme and learning outcomes are agreed by all parties</w:t>
            </w:r>
          </w:p>
        </w:tc>
      </w:tr>
      <w:tr w:rsidR="00DE010D" w:rsidRPr="007B71A7" w14:paraId="111A102A" w14:textId="77777777" w:rsidTr="00FB2D48">
        <w:trPr>
          <w:trHeight w:val="307"/>
        </w:trPr>
        <w:tc>
          <w:tcPr>
            <w:tcW w:w="3426" w:type="dxa"/>
          </w:tcPr>
          <w:p w14:paraId="5A2F12D3" w14:textId="77777777" w:rsidR="00DE010D" w:rsidRPr="0033450D" w:rsidRDefault="00DE010D">
            <w:pPr>
              <w:rPr>
                <w:rFonts w:ascii="Aptos" w:hAnsi="Aptos" w:cs="Segoe UI"/>
                <w:sz w:val="22"/>
                <w:szCs w:val="22"/>
              </w:rPr>
            </w:pPr>
            <w:r w:rsidRPr="0033450D">
              <w:rPr>
                <w:rFonts w:ascii="Aptos" w:hAnsi="Aptos" w:cs="Segoe UI"/>
                <w:b/>
                <w:bCs/>
                <w:sz w:val="22"/>
                <w:szCs w:val="22"/>
              </w:rPr>
              <w:t>Award</w:t>
            </w:r>
          </w:p>
        </w:tc>
        <w:tc>
          <w:tcPr>
            <w:tcW w:w="6399" w:type="dxa"/>
          </w:tcPr>
          <w:p w14:paraId="5AF200EB" w14:textId="77777777" w:rsidR="00DE010D" w:rsidRPr="0033450D" w:rsidRDefault="00DE010D">
            <w:pPr>
              <w:rPr>
                <w:rFonts w:ascii="Aptos" w:hAnsi="Aptos" w:cs="Segoe UI"/>
                <w:sz w:val="22"/>
                <w:szCs w:val="22"/>
              </w:rPr>
            </w:pPr>
            <w:r w:rsidRPr="0033450D">
              <w:rPr>
                <w:rFonts w:ascii="Aptos" w:hAnsi="Aptos" w:cs="Segoe UI"/>
                <w:sz w:val="22"/>
                <w:szCs w:val="22"/>
              </w:rPr>
              <w:t>Birkbeck and the partner</w:t>
            </w:r>
          </w:p>
        </w:tc>
      </w:tr>
      <w:tr w:rsidR="00DE010D" w:rsidRPr="007B71A7" w14:paraId="12775ED2" w14:textId="77777777" w:rsidTr="00FB2D48">
        <w:trPr>
          <w:trHeight w:val="307"/>
        </w:trPr>
        <w:tc>
          <w:tcPr>
            <w:tcW w:w="3426" w:type="dxa"/>
          </w:tcPr>
          <w:p w14:paraId="2FEAD81A" w14:textId="77777777" w:rsidR="00DE010D" w:rsidRPr="0033450D" w:rsidRDefault="00DE010D">
            <w:pPr>
              <w:rPr>
                <w:rFonts w:ascii="Aptos" w:hAnsi="Aptos" w:cs="Segoe UI"/>
                <w:sz w:val="22"/>
                <w:szCs w:val="22"/>
              </w:rPr>
            </w:pPr>
            <w:r w:rsidRPr="0033450D">
              <w:rPr>
                <w:rFonts w:ascii="Aptos" w:hAnsi="Aptos" w:cs="Segoe UI"/>
                <w:b/>
                <w:bCs/>
                <w:sz w:val="22"/>
                <w:szCs w:val="22"/>
              </w:rPr>
              <w:t>Academic regulations and policies</w:t>
            </w:r>
          </w:p>
        </w:tc>
        <w:tc>
          <w:tcPr>
            <w:tcW w:w="6399" w:type="dxa"/>
          </w:tcPr>
          <w:p w14:paraId="5F7123CD" w14:textId="77777777" w:rsidR="00DE010D" w:rsidRPr="0033450D" w:rsidRDefault="00DE010D">
            <w:pPr>
              <w:rPr>
                <w:rFonts w:ascii="Aptos" w:hAnsi="Aptos" w:cs="Segoe UI"/>
                <w:b/>
                <w:bCs/>
                <w:sz w:val="22"/>
                <w:szCs w:val="22"/>
              </w:rPr>
            </w:pPr>
            <w:r w:rsidRPr="0033450D">
              <w:rPr>
                <w:rFonts w:ascii="Aptos" w:hAnsi="Aptos" w:cs="Segoe UI"/>
                <w:sz w:val="22"/>
                <w:szCs w:val="22"/>
              </w:rPr>
              <w:t>The academic regulations and policies that apply are agreed jointly between Birkbeck and the partner, and must be no less than those offered for programme delivered solely by Birkbeck</w:t>
            </w:r>
          </w:p>
        </w:tc>
      </w:tr>
      <w:tr w:rsidR="00DE010D" w:rsidRPr="007B71A7" w14:paraId="4346145B" w14:textId="77777777" w:rsidTr="00FB2D48">
        <w:trPr>
          <w:trHeight w:val="307"/>
        </w:trPr>
        <w:tc>
          <w:tcPr>
            <w:tcW w:w="3426" w:type="dxa"/>
          </w:tcPr>
          <w:p w14:paraId="087D4E9F" w14:textId="77777777" w:rsidR="00DE010D" w:rsidRPr="0033450D" w:rsidRDefault="00DE010D">
            <w:pPr>
              <w:rPr>
                <w:rFonts w:ascii="Aptos" w:hAnsi="Aptos" w:cs="Segoe UI"/>
                <w:b/>
                <w:bCs/>
                <w:sz w:val="22"/>
                <w:szCs w:val="22"/>
              </w:rPr>
            </w:pPr>
            <w:r w:rsidRPr="0033450D">
              <w:rPr>
                <w:rFonts w:ascii="Aptos" w:hAnsi="Aptos" w:cs="Segoe UI"/>
                <w:b/>
                <w:bCs/>
                <w:sz w:val="22"/>
                <w:szCs w:val="22"/>
              </w:rPr>
              <w:t>Student contractual relationship</w:t>
            </w:r>
          </w:p>
        </w:tc>
        <w:tc>
          <w:tcPr>
            <w:tcW w:w="6399" w:type="dxa"/>
          </w:tcPr>
          <w:p w14:paraId="4A3DE34E" w14:textId="77777777" w:rsidR="00DE010D" w:rsidRPr="0033450D" w:rsidRDefault="00DE010D">
            <w:pPr>
              <w:rPr>
                <w:rFonts w:ascii="Aptos" w:hAnsi="Aptos" w:cs="Segoe UI"/>
                <w:sz w:val="22"/>
                <w:szCs w:val="22"/>
              </w:rPr>
            </w:pPr>
            <w:r w:rsidRPr="0033450D">
              <w:rPr>
                <w:rFonts w:ascii="Aptos" w:hAnsi="Aptos" w:cs="Segoe UI"/>
                <w:sz w:val="22"/>
                <w:szCs w:val="22"/>
              </w:rPr>
              <w:t>Birkbeck and Partner on a student-by-student basis</w:t>
            </w:r>
          </w:p>
        </w:tc>
      </w:tr>
      <w:tr w:rsidR="00DE010D" w:rsidRPr="007B71A7" w14:paraId="37DD9D77" w14:textId="77777777" w:rsidTr="00FB2D48">
        <w:trPr>
          <w:trHeight w:val="307"/>
        </w:trPr>
        <w:tc>
          <w:tcPr>
            <w:tcW w:w="3426" w:type="dxa"/>
          </w:tcPr>
          <w:p w14:paraId="7287CBE9" w14:textId="77777777" w:rsidR="00DE010D" w:rsidRPr="0033450D" w:rsidRDefault="00DE010D">
            <w:pPr>
              <w:rPr>
                <w:rFonts w:ascii="Aptos" w:hAnsi="Aptos" w:cs="Segoe UI"/>
                <w:sz w:val="22"/>
                <w:szCs w:val="22"/>
              </w:rPr>
            </w:pPr>
            <w:r w:rsidRPr="0033450D">
              <w:rPr>
                <w:rFonts w:ascii="Aptos" w:hAnsi="Aptos" w:cs="Segoe UI"/>
                <w:b/>
                <w:bCs/>
                <w:sz w:val="22"/>
                <w:szCs w:val="22"/>
              </w:rPr>
              <w:t>Student Protection Plan</w:t>
            </w:r>
          </w:p>
        </w:tc>
        <w:tc>
          <w:tcPr>
            <w:tcW w:w="6399" w:type="dxa"/>
          </w:tcPr>
          <w:p w14:paraId="5EA69637" w14:textId="77777777" w:rsidR="00DE010D" w:rsidRPr="0033450D" w:rsidRDefault="00DE010D">
            <w:pPr>
              <w:rPr>
                <w:rFonts w:ascii="Aptos" w:hAnsi="Aptos" w:cs="Segoe UI"/>
                <w:sz w:val="22"/>
                <w:szCs w:val="22"/>
              </w:rPr>
            </w:pPr>
            <w:r w:rsidRPr="0033450D">
              <w:rPr>
                <w:rFonts w:ascii="Aptos" w:hAnsi="Aptos" w:cs="Segoe UI"/>
                <w:sz w:val="22"/>
                <w:szCs w:val="22"/>
              </w:rPr>
              <w:t>Birkbeck</w:t>
            </w:r>
          </w:p>
        </w:tc>
      </w:tr>
      <w:tr w:rsidR="00DE010D" w:rsidRPr="007B71A7" w14:paraId="2F0B2D63" w14:textId="77777777" w:rsidTr="00FB2D48">
        <w:trPr>
          <w:trHeight w:val="307"/>
        </w:trPr>
        <w:tc>
          <w:tcPr>
            <w:tcW w:w="3426" w:type="dxa"/>
          </w:tcPr>
          <w:p w14:paraId="4BEE9DC5" w14:textId="77777777" w:rsidR="00DE010D" w:rsidRPr="0033450D" w:rsidRDefault="00DE010D">
            <w:pPr>
              <w:rPr>
                <w:rFonts w:ascii="Aptos" w:hAnsi="Aptos" w:cs="Segoe UI"/>
                <w:sz w:val="22"/>
                <w:szCs w:val="22"/>
              </w:rPr>
            </w:pPr>
            <w:r w:rsidRPr="0033450D">
              <w:rPr>
                <w:rFonts w:ascii="Aptos" w:hAnsi="Aptos" w:cs="Segoe UI"/>
                <w:b/>
                <w:bCs/>
                <w:sz w:val="22"/>
                <w:szCs w:val="22"/>
              </w:rPr>
              <w:t>Birkbeck approval process</w:t>
            </w:r>
          </w:p>
        </w:tc>
        <w:tc>
          <w:tcPr>
            <w:tcW w:w="6399" w:type="dxa"/>
          </w:tcPr>
          <w:p w14:paraId="1C27699B" w14:textId="03055F5F" w:rsidR="00DE010D" w:rsidRPr="0033450D" w:rsidRDefault="002A4E71">
            <w:pPr>
              <w:rPr>
                <w:rFonts w:ascii="Aptos" w:hAnsi="Aptos" w:cs="Segoe UI"/>
                <w:sz w:val="22"/>
                <w:szCs w:val="22"/>
              </w:rPr>
            </w:pPr>
            <w:r w:rsidRPr="0033450D">
              <w:rPr>
                <w:rFonts w:ascii="Aptos" w:hAnsi="Aptos" w:cs="Segoe UI"/>
                <w:sz w:val="22"/>
                <w:szCs w:val="22"/>
              </w:rPr>
              <w:t>Stage 0, 1 and 2 processes apply</w:t>
            </w:r>
          </w:p>
        </w:tc>
      </w:tr>
      <w:tr w:rsidR="00DE010D" w:rsidRPr="007B71A7" w14:paraId="628FD982" w14:textId="77777777" w:rsidTr="00FB2D48">
        <w:trPr>
          <w:trHeight w:val="307"/>
        </w:trPr>
        <w:tc>
          <w:tcPr>
            <w:tcW w:w="3426" w:type="dxa"/>
          </w:tcPr>
          <w:p w14:paraId="5AD8ECC8" w14:textId="77777777" w:rsidR="00DE010D" w:rsidRPr="0033450D" w:rsidRDefault="00DE010D">
            <w:pPr>
              <w:rPr>
                <w:rFonts w:ascii="Aptos" w:hAnsi="Aptos" w:cs="Segoe UI"/>
                <w:sz w:val="22"/>
                <w:szCs w:val="22"/>
              </w:rPr>
            </w:pPr>
            <w:r w:rsidRPr="0033450D">
              <w:rPr>
                <w:rFonts w:ascii="Aptos" w:hAnsi="Aptos" w:cs="Segoe UI"/>
                <w:b/>
                <w:bCs/>
                <w:sz w:val="22"/>
                <w:szCs w:val="22"/>
              </w:rPr>
              <w:t xml:space="preserve">Birkbeck focus </w:t>
            </w:r>
            <w:proofErr w:type="gramStart"/>
            <w:r w:rsidRPr="0033450D">
              <w:rPr>
                <w:rFonts w:ascii="Aptos" w:hAnsi="Aptos" w:cs="Segoe UI"/>
                <w:b/>
                <w:bCs/>
                <w:sz w:val="22"/>
                <w:szCs w:val="22"/>
              </w:rPr>
              <w:t>in</w:t>
            </w:r>
            <w:proofErr w:type="gramEnd"/>
            <w:r w:rsidRPr="0033450D">
              <w:rPr>
                <w:rFonts w:ascii="Aptos" w:hAnsi="Aptos" w:cs="Segoe UI"/>
                <w:b/>
                <w:bCs/>
                <w:sz w:val="22"/>
                <w:szCs w:val="22"/>
              </w:rPr>
              <w:t xml:space="preserve"> the Stage 1 process</w:t>
            </w:r>
          </w:p>
        </w:tc>
        <w:tc>
          <w:tcPr>
            <w:tcW w:w="6399" w:type="dxa"/>
          </w:tcPr>
          <w:p w14:paraId="4F0088E0" w14:textId="77777777" w:rsidR="00DE010D" w:rsidRPr="0033450D" w:rsidRDefault="00DE010D">
            <w:pPr>
              <w:rPr>
                <w:rFonts w:ascii="Aptos" w:hAnsi="Aptos" w:cs="Segoe UI"/>
                <w:sz w:val="22"/>
                <w:szCs w:val="22"/>
              </w:rPr>
            </w:pPr>
            <w:r w:rsidRPr="0033450D">
              <w:rPr>
                <w:rFonts w:ascii="Aptos" w:hAnsi="Aptos" w:cs="Segoe UI"/>
                <w:sz w:val="22"/>
                <w:szCs w:val="22"/>
              </w:rPr>
              <w:t>Adapted to reflect a research degree is different to a taught degree and to focus on the nature and level of support that a student will receive when studying with the partner institution, and how the co-</w:t>
            </w:r>
            <w:proofErr w:type="spellStart"/>
            <w:r w:rsidRPr="0033450D">
              <w:rPr>
                <w:rFonts w:ascii="Aptos" w:hAnsi="Aptos" w:cs="Segoe UI"/>
                <w:sz w:val="22"/>
                <w:szCs w:val="22"/>
              </w:rPr>
              <w:t>tutelle</w:t>
            </w:r>
            <w:proofErr w:type="spellEnd"/>
            <w:r w:rsidRPr="0033450D">
              <w:rPr>
                <w:rFonts w:ascii="Aptos" w:hAnsi="Aptos" w:cs="Segoe UI"/>
                <w:sz w:val="22"/>
                <w:szCs w:val="22"/>
              </w:rPr>
              <w:t xml:space="preserve"> will work in practice to safeguard the student and academic standards</w:t>
            </w:r>
          </w:p>
        </w:tc>
      </w:tr>
      <w:tr w:rsidR="00DE010D" w:rsidRPr="007B71A7" w14:paraId="5F5EA4B5" w14:textId="77777777" w:rsidTr="00FB2D48">
        <w:trPr>
          <w:trHeight w:val="307"/>
        </w:trPr>
        <w:tc>
          <w:tcPr>
            <w:tcW w:w="3426" w:type="dxa"/>
          </w:tcPr>
          <w:p w14:paraId="43982BCA" w14:textId="77777777" w:rsidR="00DE010D" w:rsidRPr="0033450D" w:rsidRDefault="00DE010D">
            <w:pPr>
              <w:rPr>
                <w:rFonts w:ascii="Aptos" w:hAnsi="Aptos" w:cs="Segoe UI"/>
                <w:sz w:val="22"/>
                <w:szCs w:val="22"/>
              </w:rPr>
            </w:pPr>
            <w:r w:rsidRPr="0033450D">
              <w:rPr>
                <w:rFonts w:ascii="Aptos" w:hAnsi="Aptos" w:cs="Segoe UI"/>
                <w:b/>
                <w:bCs/>
                <w:sz w:val="22"/>
                <w:szCs w:val="22"/>
              </w:rPr>
              <w:t>Student data and statutory returns</w:t>
            </w:r>
          </w:p>
        </w:tc>
        <w:tc>
          <w:tcPr>
            <w:tcW w:w="6399" w:type="dxa"/>
          </w:tcPr>
          <w:p w14:paraId="3FD4BCE0" w14:textId="77777777" w:rsidR="00DE010D" w:rsidRPr="0033450D" w:rsidRDefault="00DE010D">
            <w:pPr>
              <w:rPr>
                <w:rFonts w:ascii="Aptos" w:hAnsi="Aptos" w:cs="Segoe UI"/>
                <w:sz w:val="22"/>
                <w:szCs w:val="22"/>
              </w:rPr>
            </w:pPr>
            <w:r w:rsidRPr="0033450D">
              <w:rPr>
                <w:rFonts w:ascii="Aptos" w:hAnsi="Aptos" w:cs="Segoe UI"/>
                <w:sz w:val="22"/>
                <w:szCs w:val="22"/>
              </w:rPr>
              <w:t>To follow requirements set out by the Office for Students and informed by sector practice</w:t>
            </w:r>
          </w:p>
        </w:tc>
      </w:tr>
      <w:tr w:rsidR="00DE010D" w:rsidRPr="007B71A7" w14:paraId="19DD6598" w14:textId="77777777" w:rsidTr="00FB2D48">
        <w:trPr>
          <w:trHeight w:val="307"/>
        </w:trPr>
        <w:tc>
          <w:tcPr>
            <w:tcW w:w="3426" w:type="dxa"/>
          </w:tcPr>
          <w:p w14:paraId="4CE18A98" w14:textId="77777777" w:rsidR="00DE010D" w:rsidRPr="0033450D" w:rsidRDefault="00DE010D">
            <w:pPr>
              <w:rPr>
                <w:rFonts w:ascii="Aptos" w:hAnsi="Aptos" w:cs="Segoe UI"/>
                <w:sz w:val="22"/>
                <w:szCs w:val="22"/>
              </w:rPr>
            </w:pPr>
            <w:r w:rsidRPr="0033450D">
              <w:rPr>
                <w:rFonts w:ascii="Aptos" w:hAnsi="Aptos" w:cs="Segoe UI"/>
                <w:b/>
                <w:bCs/>
                <w:sz w:val="22"/>
                <w:szCs w:val="22"/>
              </w:rPr>
              <w:t>Overall risk level</w:t>
            </w:r>
          </w:p>
        </w:tc>
        <w:tc>
          <w:tcPr>
            <w:tcW w:w="6399" w:type="dxa"/>
          </w:tcPr>
          <w:p w14:paraId="038ED711" w14:textId="77777777" w:rsidR="00DE010D" w:rsidRPr="0033450D" w:rsidRDefault="00DE010D">
            <w:pPr>
              <w:rPr>
                <w:rFonts w:ascii="Aptos" w:hAnsi="Aptos" w:cs="Segoe UI"/>
                <w:sz w:val="22"/>
                <w:szCs w:val="22"/>
              </w:rPr>
            </w:pPr>
            <w:r w:rsidRPr="0033450D">
              <w:rPr>
                <w:rFonts w:ascii="Aptos" w:hAnsi="Aptos" w:cs="Segoe UI"/>
                <w:sz w:val="22"/>
                <w:szCs w:val="22"/>
              </w:rPr>
              <w:t>High</w:t>
            </w:r>
          </w:p>
        </w:tc>
      </w:tr>
    </w:tbl>
    <w:p w14:paraId="5D8F3775" w14:textId="77777777" w:rsidR="00DE010D" w:rsidRPr="0033450D" w:rsidRDefault="00DE010D" w:rsidP="00DE010D">
      <w:pPr>
        <w:rPr>
          <w:rFonts w:ascii="Aptos" w:hAnsi="Aptos" w:cs="Segoe UI"/>
          <w:sz w:val="22"/>
          <w:szCs w:val="22"/>
        </w:rPr>
      </w:pPr>
    </w:p>
    <w:p w14:paraId="5A4F6908" w14:textId="77777777" w:rsidR="00DE010D" w:rsidRPr="0033450D" w:rsidRDefault="00DE010D" w:rsidP="00DE010D">
      <w:pPr>
        <w:rPr>
          <w:rFonts w:ascii="Aptos" w:hAnsi="Aptos" w:cs="Segoe UI"/>
          <w:sz w:val="22"/>
          <w:szCs w:val="22"/>
        </w:rPr>
      </w:pPr>
    </w:p>
    <w:p w14:paraId="337D3678" w14:textId="77777777" w:rsidR="00DE010D" w:rsidRPr="0033450D" w:rsidRDefault="00DE010D" w:rsidP="00DE010D">
      <w:pPr>
        <w:rPr>
          <w:rFonts w:ascii="Aptos" w:hAnsi="Aptos" w:cs="Segoe UI"/>
          <w:b/>
          <w:bCs/>
          <w:sz w:val="22"/>
          <w:szCs w:val="22"/>
        </w:rPr>
      </w:pPr>
      <w:r w:rsidRPr="0033450D">
        <w:rPr>
          <w:rFonts w:ascii="Aptos" w:hAnsi="Aptos" w:cs="Segoe UI"/>
          <w:b/>
          <w:bCs/>
          <w:sz w:val="22"/>
          <w:szCs w:val="22"/>
        </w:rPr>
        <w:br w:type="page"/>
      </w:r>
    </w:p>
    <w:p w14:paraId="68B6AB2B" w14:textId="0751F6EC" w:rsidR="00E2655A" w:rsidRPr="00306EA7" w:rsidRDefault="0030366A" w:rsidP="001545CB">
      <w:pPr>
        <w:pStyle w:val="Heading3"/>
      </w:pPr>
      <w:bookmarkStart w:id="13" w:name="_Toc233884404"/>
      <w:r w:rsidRPr="00306EA7">
        <w:lastRenderedPageBreak/>
        <w:t>Degree Apprenticeships</w:t>
      </w:r>
      <w:bookmarkEnd w:id="13"/>
    </w:p>
    <w:p w14:paraId="70A2DA70" w14:textId="77777777" w:rsidR="00306EA7" w:rsidRDefault="00306EA7">
      <w:pPr>
        <w:rPr>
          <w:rFonts w:ascii="Aptos" w:hAnsi="Aptos" w:cs="Segoe UI"/>
          <w:sz w:val="22"/>
          <w:szCs w:val="22"/>
        </w:rPr>
      </w:pPr>
    </w:p>
    <w:p w14:paraId="44CB4880" w14:textId="1D3E0DC4" w:rsidR="0030366A" w:rsidRPr="00856BB2" w:rsidRDefault="0030366A">
      <w:pPr>
        <w:rPr>
          <w:rFonts w:ascii="Segoe UI" w:hAnsi="Segoe UI" w:cs="Segoe UI"/>
          <w:sz w:val="22"/>
          <w:szCs w:val="22"/>
        </w:rPr>
      </w:pPr>
      <w:r w:rsidRPr="0033450D">
        <w:rPr>
          <w:rFonts w:ascii="Aptos" w:hAnsi="Aptos" w:cs="Segoe UI"/>
          <w:sz w:val="22"/>
          <w:szCs w:val="22"/>
        </w:rPr>
        <w:t>If Degree Apprenticeship provision develops, Birkbeck may wish to add th</w:t>
      </w:r>
      <w:r w:rsidR="00F974EB" w:rsidRPr="0033450D">
        <w:rPr>
          <w:rFonts w:ascii="Aptos" w:hAnsi="Aptos" w:cs="Segoe UI"/>
          <w:sz w:val="22"/>
          <w:szCs w:val="22"/>
        </w:rPr>
        <w:t>at</w:t>
      </w:r>
      <w:r w:rsidRPr="0033450D">
        <w:rPr>
          <w:rFonts w:ascii="Aptos" w:hAnsi="Aptos" w:cs="Segoe UI"/>
          <w:sz w:val="22"/>
          <w:szCs w:val="22"/>
        </w:rPr>
        <w:t xml:space="preserve"> category to th</w:t>
      </w:r>
      <w:r w:rsidR="00F974EB" w:rsidRPr="0033450D">
        <w:rPr>
          <w:rFonts w:ascii="Aptos" w:hAnsi="Aptos" w:cs="Segoe UI"/>
          <w:sz w:val="22"/>
          <w:szCs w:val="22"/>
        </w:rPr>
        <w:t>is</w:t>
      </w:r>
      <w:r w:rsidRPr="0033450D">
        <w:rPr>
          <w:rFonts w:ascii="Aptos" w:hAnsi="Aptos" w:cs="Segoe UI"/>
          <w:sz w:val="22"/>
          <w:szCs w:val="22"/>
        </w:rPr>
        <w:t xml:space="preserve"> typology or use </w:t>
      </w:r>
      <w:r w:rsidR="00F974EB" w:rsidRPr="0033450D">
        <w:rPr>
          <w:rFonts w:ascii="Aptos" w:hAnsi="Aptos" w:cs="Segoe UI"/>
          <w:sz w:val="22"/>
          <w:szCs w:val="22"/>
        </w:rPr>
        <w:t>the typology</w:t>
      </w:r>
      <w:r w:rsidRPr="0033450D">
        <w:rPr>
          <w:rFonts w:ascii="Aptos" w:hAnsi="Aptos" w:cs="Segoe UI"/>
          <w:sz w:val="22"/>
          <w:szCs w:val="22"/>
        </w:rPr>
        <w:t xml:space="preserve"> principles in designing and managing approval and review processes to safeguard the academic quality and standards and the student experience</w:t>
      </w:r>
      <w:r w:rsidRPr="00856BB2">
        <w:rPr>
          <w:rFonts w:ascii="Segoe UI" w:hAnsi="Segoe UI" w:cs="Segoe UI"/>
          <w:sz w:val="22"/>
          <w:szCs w:val="22"/>
        </w:rPr>
        <w:t xml:space="preserve">. </w:t>
      </w:r>
    </w:p>
    <w:sectPr w:rsidR="0030366A" w:rsidRPr="00856BB2" w:rsidSect="00FB2D48">
      <w:headerReference w:type="default" r:id="rId13"/>
      <w:footerReference w:type="even" r:id="rId14"/>
      <w:footerReference w:type="default" r:id="rId15"/>
      <w:pgSz w:w="11901" w:h="16817"/>
      <w:pgMar w:top="1440" w:right="831" w:bottom="1440" w:left="1134"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C760F6" w14:textId="77777777" w:rsidR="00FB736E" w:rsidRDefault="00FB736E" w:rsidP="005431E5">
      <w:r>
        <w:separator/>
      </w:r>
    </w:p>
  </w:endnote>
  <w:endnote w:type="continuationSeparator" w:id="0">
    <w:p w14:paraId="09D810FF" w14:textId="77777777" w:rsidR="00FB736E" w:rsidRDefault="00FB736E" w:rsidP="005431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53452911"/>
      <w:docPartObj>
        <w:docPartGallery w:val="Page Numbers (Bottom of Page)"/>
        <w:docPartUnique/>
      </w:docPartObj>
    </w:sdtPr>
    <w:sdtEndPr>
      <w:rPr>
        <w:rStyle w:val="PageNumber"/>
      </w:rPr>
    </w:sdtEndPr>
    <w:sdtContent>
      <w:p w14:paraId="12ED5047" w14:textId="2A1ED0E5" w:rsidR="005431E5" w:rsidRDefault="005431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147586" w14:textId="77777777" w:rsidR="005431E5" w:rsidRDefault="005431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85747555"/>
      <w:docPartObj>
        <w:docPartGallery w:val="Page Numbers (Bottom of Page)"/>
        <w:docPartUnique/>
      </w:docPartObj>
    </w:sdtPr>
    <w:sdtEndPr>
      <w:rPr>
        <w:rStyle w:val="PageNumber"/>
      </w:rPr>
    </w:sdtEndPr>
    <w:sdtContent>
      <w:p w14:paraId="0DBD04D8" w14:textId="50B00074" w:rsidR="005431E5" w:rsidRDefault="005431E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585167F" w14:textId="77777777" w:rsidR="005431E5" w:rsidRDefault="005431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A60734" w14:textId="77777777" w:rsidR="00FB736E" w:rsidRDefault="00FB736E" w:rsidP="005431E5">
      <w:r>
        <w:separator/>
      </w:r>
    </w:p>
  </w:footnote>
  <w:footnote w:type="continuationSeparator" w:id="0">
    <w:p w14:paraId="13E95440" w14:textId="77777777" w:rsidR="00FB736E" w:rsidRDefault="00FB736E" w:rsidP="005431E5">
      <w:r>
        <w:continuationSeparator/>
      </w:r>
    </w:p>
  </w:footnote>
  <w:footnote w:id="1">
    <w:p w14:paraId="12B6DEB0" w14:textId="0E1C8F34" w:rsidR="003959A5" w:rsidRDefault="003959A5">
      <w:pPr>
        <w:pStyle w:val="FootnoteText"/>
      </w:pPr>
      <w:r>
        <w:rPr>
          <w:rStyle w:val="FootnoteReference"/>
        </w:rPr>
        <w:footnoteRef/>
      </w:r>
      <w:r>
        <w:t xml:space="preserve"> </w:t>
      </w:r>
      <w:hyperlink r:id="rId1" w:history="1">
        <w:r w:rsidRPr="003959A5">
          <w:rPr>
            <w:rStyle w:val="Hyperlink"/>
          </w:rPr>
          <w:t>Strengthening oversight of partnership delivery in higher education: government response</w:t>
        </w:r>
      </w:hyperlink>
      <w:r>
        <w:t>/</w:t>
      </w:r>
      <w:r w:rsidR="007570AC">
        <w:t xml:space="preserve"> </w:t>
      </w:r>
      <w:hyperlink r:id="rId2" w:history="1">
        <w:r w:rsidR="007570AC" w:rsidRPr="007570AC">
          <w:rPr>
            <w:rStyle w:val="Hyperlink"/>
          </w:rPr>
          <w:t>Condition E10: Subcontracting</w:t>
        </w:r>
      </w:hyperlink>
      <w:r w:rsidR="007570AC">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131D4" w14:textId="714B871D" w:rsidR="00922763" w:rsidRDefault="00CF4897">
    <w:pPr>
      <w:pStyle w:val="Header"/>
    </w:pPr>
    <w:r>
      <w:rPr>
        <w:noProof/>
      </w:rPr>
      <w:drawing>
        <wp:anchor distT="0" distB="0" distL="114300" distR="114300" simplePos="0" relativeHeight="251657216" behindDoc="0" locked="0" layoutInCell="1" allowOverlap="1" wp14:anchorId="1CB53000" wp14:editId="60BBF442">
          <wp:simplePos x="0" y="0"/>
          <wp:positionH relativeFrom="column">
            <wp:posOffset>7325360</wp:posOffset>
          </wp:positionH>
          <wp:positionV relativeFrom="paragraph">
            <wp:posOffset>5715</wp:posOffset>
          </wp:positionV>
          <wp:extent cx="1532890" cy="549275"/>
          <wp:effectExtent l="0" t="0" r="0" b="3175"/>
          <wp:wrapNone/>
          <wp:docPr id="179049279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9279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2890" cy="549275"/>
                  </a:xfrm>
                  <a:prstGeom prst="rect">
                    <a:avLst/>
                  </a:prstGeom>
                  <a:noFill/>
                  <a:ln>
                    <a:noFill/>
                  </a:ln>
                </pic:spPr>
              </pic:pic>
            </a:graphicData>
          </a:graphic>
          <wp14:sizeRelH relativeFrom="page">
            <wp14:pctWidth>0</wp14:pctWidth>
          </wp14:sizeRelH>
          <wp14:sizeRelV relativeFrom="page">
            <wp14:pctHeight>0</wp14:pctHeight>
          </wp14:sizeRelV>
        </wp:anchor>
      </w:drawing>
    </w:r>
    <w:r w:rsidR="5D2F79E9" w:rsidRPr="5D2F79E9">
      <w:rPr>
        <w:b/>
        <w:bCs/>
        <w:color w:val="FF0000"/>
      </w:rPr>
      <w:t xml:space="preserve">               </w:t>
    </w:r>
    <w:r w:rsidR="5D2F79E9">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E71AC9"/>
    <w:multiLevelType w:val="hybridMultilevel"/>
    <w:tmpl w:val="A0C42E80"/>
    <w:lvl w:ilvl="0" w:tplc="FFFFFFFF">
      <w:start w:val="1"/>
      <w:numFmt w:val="decimal"/>
      <w:lvlText w:val="%1)"/>
      <w:lvlJc w:val="left"/>
      <w:pPr>
        <w:ind w:left="1418" w:hanging="360"/>
      </w:pPr>
    </w:lvl>
    <w:lvl w:ilvl="1" w:tplc="FFFFFFFF">
      <w:start w:val="1"/>
      <w:numFmt w:val="lowerLetter"/>
      <w:lvlText w:val="%2."/>
      <w:lvlJc w:val="left"/>
      <w:pPr>
        <w:ind w:left="2138" w:hanging="360"/>
      </w:pPr>
    </w:lvl>
    <w:lvl w:ilvl="2" w:tplc="FFFFFFFF">
      <w:start w:val="1"/>
      <w:numFmt w:val="lowerRoman"/>
      <w:lvlText w:val="%3."/>
      <w:lvlJc w:val="right"/>
      <w:pPr>
        <w:ind w:left="2858" w:hanging="180"/>
      </w:pPr>
    </w:lvl>
    <w:lvl w:ilvl="3" w:tplc="FFFFFFFF">
      <w:start w:val="1"/>
      <w:numFmt w:val="decimal"/>
      <w:lvlText w:val="%4."/>
      <w:lvlJc w:val="left"/>
      <w:pPr>
        <w:ind w:left="3578" w:hanging="360"/>
      </w:pPr>
    </w:lvl>
    <w:lvl w:ilvl="4" w:tplc="FFFFFFFF">
      <w:start w:val="1"/>
      <w:numFmt w:val="lowerLetter"/>
      <w:lvlText w:val="%5."/>
      <w:lvlJc w:val="left"/>
      <w:pPr>
        <w:ind w:left="4298" w:hanging="360"/>
      </w:pPr>
    </w:lvl>
    <w:lvl w:ilvl="5" w:tplc="FFFFFFFF">
      <w:start w:val="1"/>
      <w:numFmt w:val="lowerRoman"/>
      <w:lvlText w:val="%6."/>
      <w:lvlJc w:val="right"/>
      <w:pPr>
        <w:ind w:left="5018" w:hanging="180"/>
      </w:pPr>
    </w:lvl>
    <w:lvl w:ilvl="6" w:tplc="FFFFFFFF">
      <w:start w:val="1"/>
      <w:numFmt w:val="decimal"/>
      <w:lvlText w:val="%7."/>
      <w:lvlJc w:val="left"/>
      <w:pPr>
        <w:ind w:left="5738" w:hanging="360"/>
      </w:pPr>
    </w:lvl>
    <w:lvl w:ilvl="7" w:tplc="FFFFFFFF">
      <w:start w:val="1"/>
      <w:numFmt w:val="lowerLetter"/>
      <w:lvlText w:val="%8."/>
      <w:lvlJc w:val="left"/>
      <w:pPr>
        <w:ind w:left="6458" w:hanging="360"/>
      </w:pPr>
    </w:lvl>
    <w:lvl w:ilvl="8" w:tplc="FFFFFFFF">
      <w:start w:val="1"/>
      <w:numFmt w:val="lowerRoman"/>
      <w:lvlText w:val="%9."/>
      <w:lvlJc w:val="right"/>
      <w:pPr>
        <w:ind w:left="7178" w:hanging="180"/>
      </w:pPr>
    </w:lvl>
  </w:abstractNum>
  <w:abstractNum w:abstractNumId="1" w15:restartNumberingAfterBreak="0">
    <w:nsid w:val="3907C196"/>
    <w:multiLevelType w:val="hybridMultilevel"/>
    <w:tmpl w:val="A0C42E80"/>
    <w:lvl w:ilvl="0" w:tplc="5418A59A">
      <w:start w:val="1"/>
      <w:numFmt w:val="decimal"/>
      <w:lvlText w:val="%1)"/>
      <w:lvlJc w:val="left"/>
      <w:pPr>
        <w:ind w:left="1418" w:hanging="360"/>
      </w:pPr>
    </w:lvl>
    <w:lvl w:ilvl="1" w:tplc="A6860600">
      <w:start w:val="1"/>
      <w:numFmt w:val="lowerLetter"/>
      <w:lvlText w:val="%2."/>
      <w:lvlJc w:val="left"/>
      <w:pPr>
        <w:ind w:left="2138" w:hanging="360"/>
      </w:pPr>
    </w:lvl>
    <w:lvl w:ilvl="2" w:tplc="95124102">
      <w:start w:val="1"/>
      <w:numFmt w:val="lowerRoman"/>
      <w:lvlText w:val="%3."/>
      <w:lvlJc w:val="right"/>
      <w:pPr>
        <w:ind w:left="2858" w:hanging="180"/>
      </w:pPr>
    </w:lvl>
    <w:lvl w:ilvl="3" w:tplc="4C387F58">
      <w:start w:val="1"/>
      <w:numFmt w:val="decimal"/>
      <w:lvlText w:val="%4."/>
      <w:lvlJc w:val="left"/>
      <w:pPr>
        <w:ind w:left="3578" w:hanging="360"/>
      </w:pPr>
    </w:lvl>
    <w:lvl w:ilvl="4" w:tplc="D536F2D0">
      <w:start w:val="1"/>
      <w:numFmt w:val="lowerLetter"/>
      <w:lvlText w:val="%5."/>
      <w:lvlJc w:val="left"/>
      <w:pPr>
        <w:ind w:left="4298" w:hanging="360"/>
      </w:pPr>
    </w:lvl>
    <w:lvl w:ilvl="5" w:tplc="B77EFF30">
      <w:start w:val="1"/>
      <w:numFmt w:val="lowerRoman"/>
      <w:lvlText w:val="%6."/>
      <w:lvlJc w:val="right"/>
      <w:pPr>
        <w:ind w:left="5018" w:hanging="180"/>
      </w:pPr>
    </w:lvl>
    <w:lvl w:ilvl="6" w:tplc="866436F0">
      <w:start w:val="1"/>
      <w:numFmt w:val="decimal"/>
      <w:lvlText w:val="%7."/>
      <w:lvlJc w:val="left"/>
      <w:pPr>
        <w:ind w:left="5738" w:hanging="360"/>
      </w:pPr>
    </w:lvl>
    <w:lvl w:ilvl="7" w:tplc="F8709572">
      <w:start w:val="1"/>
      <w:numFmt w:val="lowerLetter"/>
      <w:lvlText w:val="%8."/>
      <w:lvlJc w:val="left"/>
      <w:pPr>
        <w:ind w:left="6458" w:hanging="360"/>
      </w:pPr>
    </w:lvl>
    <w:lvl w:ilvl="8" w:tplc="AE9E694A">
      <w:start w:val="1"/>
      <w:numFmt w:val="lowerRoman"/>
      <w:lvlText w:val="%9."/>
      <w:lvlJc w:val="right"/>
      <w:pPr>
        <w:ind w:left="7178" w:hanging="180"/>
      </w:pPr>
    </w:lvl>
  </w:abstractNum>
  <w:abstractNum w:abstractNumId="2" w15:restartNumberingAfterBreak="0">
    <w:nsid w:val="465861D0"/>
    <w:multiLevelType w:val="hybridMultilevel"/>
    <w:tmpl w:val="69F2E7BC"/>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3" w15:restartNumberingAfterBreak="0">
    <w:nsid w:val="4D4351D4"/>
    <w:multiLevelType w:val="hybridMultilevel"/>
    <w:tmpl w:val="E9AA9C4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4D7D00A7"/>
    <w:multiLevelType w:val="hybridMultilevel"/>
    <w:tmpl w:val="E9AA9C4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540C154C"/>
    <w:multiLevelType w:val="hybridMultilevel"/>
    <w:tmpl w:val="A87C090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6EA86B16"/>
    <w:multiLevelType w:val="hybridMultilevel"/>
    <w:tmpl w:val="E9AA9C4A"/>
    <w:lvl w:ilvl="0" w:tplc="FFFFFFFF">
      <w:start w:val="1"/>
      <w:numFmt w:val="decimal"/>
      <w:lvlText w:val="%1)"/>
      <w:lvlJc w:val="left"/>
      <w:pPr>
        <w:ind w:left="720" w:hanging="360"/>
      </w:pPr>
      <w:rPr>
        <w:b/>
        <w:bCs/>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75E4DD5D"/>
    <w:multiLevelType w:val="hybridMultilevel"/>
    <w:tmpl w:val="E9AA9C4A"/>
    <w:lvl w:ilvl="0" w:tplc="6138FD46">
      <w:start w:val="1"/>
      <w:numFmt w:val="decimal"/>
      <w:lvlText w:val="%1)"/>
      <w:lvlJc w:val="left"/>
      <w:pPr>
        <w:ind w:left="720" w:hanging="360"/>
      </w:pPr>
      <w:rPr>
        <w:b/>
        <w:bCs/>
      </w:rPr>
    </w:lvl>
    <w:lvl w:ilvl="1" w:tplc="9208B174">
      <w:start w:val="1"/>
      <w:numFmt w:val="lowerLetter"/>
      <w:lvlText w:val="%2."/>
      <w:lvlJc w:val="left"/>
      <w:pPr>
        <w:ind w:left="1440" w:hanging="360"/>
      </w:pPr>
    </w:lvl>
    <w:lvl w:ilvl="2" w:tplc="4516BF4A">
      <w:start w:val="1"/>
      <w:numFmt w:val="lowerRoman"/>
      <w:lvlText w:val="%3."/>
      <w:lvlJc w:val="right"/>
      <w:pPr>
        <w:ind w:left="2160" w:hanging="180"/>
      </w:pPr>
    </w:lvl>
    <w:lvl w:ilvl="3" w:tplc="34F0313E">
      <w:start w:val="1"/>
      <w:numFmt w:val="decimal"/>
      <w:lvlText w:val="%4."/>
      <w:lvlJc w:val="left"/>
      <w:pPr>
        <w:ind w:left="2880" w:hanging="360"/>
      </w:pPr>
    </w:lvl>
    <w:lvl w:ilvl="4" w:tplc="63288FF2">
      <w:start w:val="1"/>
      <w:numFmt w:val="lowerLetter"/>
      <w:lvlText w:val="%5."/>
      <w:lvlJc w:val="left"/>
      <w:pPr>
        <w:ind w:left="3600" w:hanging="360"/>
      </w:pPr>
    </w:lvl>
    <w:lvl w:ilvl="5" w:tplc="9DF8B482">
      <w:start w:val="1"/>
      <w:numFmt w:val="lowerRoman"/>
      <w:lvlText w:val="%6."/>
      <w:lvlJc w:val="right"/>
      <w:pPr>
        <w:ind w:left="4320" w:hanging="180"/>
      </w:pPr>
    </w:lvl>
    <w:lvl w:ilvl="6" w:tplc="4B9046A0">
      <w:start w:val="1"/>
      <w:numFmt w:val="decimal"/>
      <w:lvlText w:val="%7."/>
      <w:lvlJc w:val="left"/>
      <w:pPr>
        <w:ind w:left="5040" w:hanging="360"/>
      </w:pPr>
    </w:lvl>
    <w:lvl w:ilvl="7" w:tplc="EB0A84DA">
      <w:start w:val="1"/>
      <w:numFmt w:val="lowerLetter"/>
      <w:lvlText w:val="%8."/>
      <w:lvlJc w:val="left"/>
      <w:pPr>
        <w:ind w:left="5760" w:hanging="360"/>
      </w:pPr>
    </w:lvl>
    <w:lvl w:ilvl="8" w:tplc="46D00D18">
      <w:start w:val="1"/>
      <w:numFmt w:val="lowerRoman"/>
      <w:lvlText w:val="%9."/>
      <w:lvlJc w:val="right"/>
      <w:pPr>
        <w:ind w:left="6480" w:hanging="180"/>
      </w:pPr>
    </w:lvl>
  </w:abstractNum>
  <w:num w:numId="1" w16cid:durableId="680426842">
    <w:abstractNumId w:val="7"/>
  </w:num>
  <w:num w:numId="2" w16cid:durableId="917524267">
    <w:abstractNumId w:val="1"/>
  </w:num>
  <w:num w:numId="3" w16cid:durableId="653217852">
    <w:abstractNumId w:val="2"/>
  </w:num>
  <w:num w:numId="4" w16cid:durableId="743838961">
    <w:abstractNumId w:val="5"/>
  </w:num>
  <w:num w:numId="5" w16cid:durableId="1162770017">
    <w:abstractNumId w:val="4"/>
  </w:num>
  <w:num w:numId="6" w16cid:durableId="1914659191">
    <w:abstractNumId w:val="6"/>
  </w:num>
  <w:num w:numId="7" w16cid:durableId="1011301329">
    <w:abstractNumId w:val="0"/>
  </w:num>
  <w:num w:numId="8" w16cid:durableId="1693739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F3D"/>
    <w:rsid w:val="00002CF1"/>
    <w:rsid w:val="00005DE9"/>
    <w:rsid w:val="00007B82"/>
    <w:rsid w:val="00010712"/>
    <w:rsid w:val="000219AB"/>
    <w:rsid w:val="00030385"/>
    <w:rsid w:val="00034910"/>
    <w:rsid w:val="00035683"/>
    <w:rsid w:val="00035A84"/>
    <w:rsid w:val="00035BB2"/>
    <w:rsid w:val="00036636"/>
    <w:rsid w:val="000411D9"/>
    <w:rsid w:val="0004191E"/>
    <w:rsid w:val="0004329A"/>
    <w:rsid w:val="000479D7"/>
    <w:rsid w:val="00050463"/>
    <w:rsid w:val="0005159C"/>
    <w:rsid w:val="000516C1"/>
    <w:rsid w:val="000537A9"/>
    <w:rsid w:val="000618F8"/>
    <w:rsid w:val="0006447E"/>
    <w:rsid w:val="00073AD3"/>
    <w:rsid w:val="00081024"/>
    <w:rsid w:val="00084D24"/>
    <w:rsid w:val="00085373"/>
    <w:rsid w:val="00090AB7"/>
    <w:rsid w:val="00090E5E"/>
    <w:rsid w:val="00092A2A"/>
    <w:rsid w:val="000A049D"/>
    <w:rsid w:val="000A4F47"/>
    <w:rsid w:val="000B374D"/>
    <w:rsid w:val="000B4378"/>
    <w:rsid w:val="000B5D21"/>
    <w:rsid w:val="000B6614"/>
    <w:rsid w:val="000B66A6"/>
    <w:rsid w:val="000C4D1C"/>
    <w:rsid w:val="000D08A3"/>
    <w:rsid w:val="000D4AF0"/>
    <w:rsid w:val="000D6F8F"/>
    <w:rsid w:val="000E6D17"/>
    <w:rsid w:val="000F4793"/>
    <w:rsid w:val="000F6E1B"/>
    <w:rsid w:val="00102587"/>
    <w:rsid w:val="00112C38"/>
    <w:rsid w:val="00116F78"/>
    <w:rsid w:val="001209B3"/>
    <w:rsid w:val="00126C5D"/>
    <w:rsid w:val="001314F4"/>
    <w:rsid w:val="00136378"/>
    <w:rsid w:val="00140EE2"/>
    <w:rsid w:val="001461DE"/>
    <w:rsid w:val="001545CB"/>
    <w:rsid w:val="00160001"/>
    <w:rsid w:val="00160296"/>
    <w:rsid w:val="0016085A"/>
    <w:rsid w:val="00160900"/>
    <w:rsid w:val="00160FC9"/>
    <w:rsid w:val="0016561E"/>
    <w:rsid w:val="00165B9E"/>
    <w:rsid w:val="00172C5A"/>
    <w:rsid w:val="0017391E"/>
    <w:rsid w:val="00176DCE"/>
    <w:rsid w:val="00177946"/>
    <w:rsid w:val="00181104"/>
    <w:rsid w:val="0018580A"/>
    <w:rsid w:val="001878E1"/>
    <w:rsid w:val="00191B99"/>
    <w:rsid w:val="00192D1C"/>
    <w:rsid w:val="00193688"/>
    <w:rsid w:val="00193849"/>
    <w:rsid w:val="00193F68"/>
    <w:rsid w:val="001959E0"/>
    <w:rsid w:val="001A38D6"/>
    <w:rsid w:val="001A5D64"/>
    <w:rsid w:val="001B45C2"/>
    <w:rsid w:val="001B4AFE"/>
    <w:rsid w:val="001B69EC"/>
    <w:rsid w:val="001B6BD3"/>
    <w:rsid w:val="001C24E8"/>
    <w:rsid w:val="001E04E1"/>
    <w:rsid w:val="001F1E28"/>
    <w:rsid w:val="001F237F"/>
    <w:rsid w:val="001F6613"/>
    <w:rsid w:val="00200600"/>
    <w:rsid w:val="0020172A"/>
    <w:rsid w:val="00204123"/>
    <w:rsid w:val="002054C3"/>
    <w:rsid w:val="002073B0"/>
    <w:rsid w:val="002172E5"/>
    <w:rsid w:val="00217A9C"/>
    <w:rsid w:val="00217AD0"/>
    <w:rsid w:val="00220F84"/>
    <w:rsid w:val="00225CA5"/>
    <w:rsid w:val="00233B73"/>
    <w:rsid w:val="00233EC0"/>
    <w:rsid w:val="00237EEA"/>
    <w:rsid w:val="002414D3"/>
    <w:rsid w:val="00241960"/>
    <w:rsid w:val="00243884"/>
    <w:rsid w:val="0024507F"/>
    <w:rsid w:val="00250696"/>
    <w:rsid w:val="002511C7"/>
    <w:rsid w:val="0025142D"/>
    <w:rsid w:val="00264F68"/>
    <w:rsid w:val="00273E2F"/>
    <w:rsid w:val="002803AA"/>
    <w:rsid w:val="0028153F"/>
    <w:rsid w:val="002817CA"/>
    <w:rsid w:val="0028489D"/>
    <w:rsid w:val="00292219"/>
    <w:rsid w:val="00292999"/>
    <w:rsid w:val="00297C07"/>
    <w:rsid w:val="002A01A9"/>
    <w:rsid w:val="002A2780"/>
    <w:rsid w:val="002A4E71"/>
    <w:rsid w:val="002B735C"/>
    <w:rsid w:val="002B749C"/>
    <w:rsid w:val="002C0615"/>
    <w:rsid w:val="002C6A96"/>
    <w:rsid w:val="002C6F2E"/>
    <w:rsid w:val="002C7150"/>
    <w:rsid w:val="002C757A"/>
    <w:rsid w:val="002D08F1"/>
    <w:rsid w:val="002D1ED3"/>
    <w:rsid w:val="002D28F3"/>
    <w:rsid w:val="002D5501"/>
    <w:rsid w:val="002E3677"/>
    <w:rsid w:val="002F33E3"/>
    <w:rsid w:val="002F349C"/>
    <w:rsid w:val="002F48D4"/>
    <w:rsid w:val="002F7615"/>
    <w:rsid w:val="0030153A"/>
    <w:rsid w:val="003027B5"/>
    <w:rsid w:val="003030FE"/>
    <w:rsid w:val="0030366A"/>
    <w:rsid w:val="00303776"/>
    <w:rsid w:val="00305EFD"/>
    <w:rsid w:val="00306EA7"/>
    <w:rsid w:val="00306EC5"/>
    <w:rsid w:val="00307450"/>
    <w:rsid w:val="003118A5"/>
    <w:rsid w:val="003131E3"/>
    <w:rsid w:val="00315FDB"/>
    <w:rsid w:val="0031769E"/>
    <w:rsid w:val="00323697"/>
    <w:rsid w:val="003239ED"/>
    <w:rsid w:val="003247C7"/>
    <w:rsid w:val="003263A7"/>
    <w:rsid w:val="00332965"/>
    <w:rsid w:val="0033450D"/>
    <w:rsid w:val="003358EB"/>
    <w:rsid w:val="0034028B"/>
    <w:rsid w:val="0034185A"/>
    <w:rsid w:val="0034263C"/>
    <w:rsid w:val="0034281F"/>
    <w:rsid w:val="00343AB1"/>
    <w:rsid w:val="003629EE"/>
    <w:rsid w:val="00362BD0"/>
    <w:rsid w:val="00362D0B"/>
    <w:rsid w:val="003855CC"/>
    <w:rsid w:val="003959A5"/>
    <w:rsid w:val="003A2483"/>
    <w:rsid w:val="003B3B33"/>
    <w:rsid w:val="003B5DAC"/>
    <w:rsid w:val="003C5014"/>
    <w:rsid w:val="003C6F6B"/>
    <w:rsid w:val="003D0188"/>
    <w:rsid w:val="003D4E90"/>
    <w:rsid w:val="003D5141"/>
    <w:rsid w:val="003E112A"/>
    <w:rsid w:val="003E4F21"/>
    <w:rsid w:val="003E5065"/>
    <w:rsid w:val="003E5D78"/>
    <w:rsid w:val="003E60C7"/>
    <w:rsid w:val="003F141F"/>
    <w:rsid w:val="003F1439"/>
    <w:rsid w:val="003F1FAB"/>
    <w:rsid w:val="003F2BE9"/>
    <w:rsid w:val="003F4986"/>
    <w:rsid w:val="003F7062"/>
    <w:rsid w:val="00407197"/>
    <w:rsid w:val="00412EED"/>
    <w:rsid w:val="0041391D"/>
    <w:rsid w:val="00415483"/>
    <w:rsid w:val="00416B63"/>
    <w:rsid w:val="00421410"/>
    <w:rsid w:val="00423271"/>
    <w:rsid w:val="00425A0C"/>
    <w:rsid w:val="004319EA"/>
    <w:rsid w:val="0043420D"/>
    <w:rsid w:val="00436E00"/>
    <w:rsid w:val="004374A0"/>
    <w:rsid w:val="0044507F"/>
    <w:rsid w:val="004468AD"/>
    <w:rsid w:val="0044768D"/>
    <w:rsid w:val="00455453"/>
    <w:rsid w:val="00456651"/>
    <w:rsid w:val="004570CD"/>
    <w:rsid w:val="00462705"/>
    <w:rsid w:val="00464C80"/>
    <w:rsid w:val="0047170F"/>
    <w:rsid w:val="00472EBA"/>
    <w:rsid w:val="00474919"/>
    <w:rsid w:val="004771E1"/>
    <w:rsid w:val="0048631B"/>
    <w:rsid w:val="00495FE7"/>
    <w:rsid w:val="004A21CE"/>
    <w:rsid w:val="004A36F9"/>
    <w:rsid w:val="004A5A49"/>
    <w:rsid w:val="004B2B3C"/>
    <w:rsid w:val="004C364A"/>
    <w:rsid w:val="004C437B"/>
    <w:rsid w:val="004D19A2"/>
    <w:rsid w:val="004D3EAE"/>
    <w:rsid w:val="004D4E9B"/>
    <w:rsid w:val="004E56B7"/>
    <w:rsid w:val="004F1777"/>
    <w:rsid w:val="004F3244"/>
    <w:rsid w:val="004F34E6"/>
    <w:rsid w:val="004F4BC4"/>
    <w:rsid w:val="004F69A0"/>
    <w:rsid w:val="004F7E9A"/>
    <w:rsid w:val="00500DBD"/>
    <w:rsid w:val="0050155B"/>
    <w:rsid w:val="00503B98"/>
    <w:rsid w:val="00511E6B"/>
    <w:rsid w:val="005134F7"/>
    <w:rsid w:val="00520F5A"/>
    <w:rsid w:val="00522463"/>
    <w:rsid w:val="00522594"/>
    <w:rsid w:val="00523958"/>
    <w:rsid w:val="005270C9"/>
    <w:rsid w:val="00530165"/>
    <w:rsid w:val="00532ACE"/>
    <w:rsid w:val="00535591"/>
    <w:rsid w:val="005369F1"/>
    <w:rsid w:val="00537A21"/>
    <w:rsid w:val="005431E5"/>
    <w:rsid w:val="005470B1"/>
    <w:rsid w:val="005510F5"/>
    <w:rsid w:val="00556056"/>
    <w:rsid w:val="00562B86"/>
    <w:rsid w:val="00563804"/>
    <w:rsid w:val="0056535E"/>
    <w:rsid w:val="00565B9C"/>
    <w:rsid w:val="00570064"/>
    <w:rsid w:val="00582BE4"/>
    <w:rsid w:val="005862CF"/>
    <w:rsid w:val="00591E5A"/>
    <w:rsid w:val="005955B0"/>
    <w:rsid w:val="0059578D"/>
    <w:rsid w:val="005B171B"/>
    <w:rsid w:val="005B2080"/>
    <w:rsid w:val="005B2D19"/>
    <w:rsid w:val="005B4555"/>
    <w:rsid w:val="005B4B17"/>
    <w:rsid w:val="005C0E6E"/>
    <w:rsid w:val="005C1EFA"/>
    <w:rsid w:val="005C3144"/>
    <w:rsid w:val="005C7B1A"/>
    <w:rsid w:val="005D183E"/>
    <w:rsid w:val="005D215F"/>
    <w:rsid w:val="005D49CF"/>
    <w:rsid w:val="005D5121"/>
    <w:rsid w:val="005E24CF"/>
    <w:rsid w:val="005E2552"/>
    <w:rsid w:val="005E3ECB"/>
    <w:rsid w:val="005E4758"/>
    <w:rsid w:val="005E75E1"/>
    <w:rsid w:val="005F4B6B"/>
    <w:rsid w:val="005F4C3E"/>
    <w:rsid w:val="005F7E71"/>
    <w:rsid w:val="006042AE"/>
    <w:rsid w:val="0060570F"/>
    <w:rsid w:val="00610972"/>
    <w:rsid w:val="006139AF"/>
    <w:rsid w:val="00615050"/>
    <w:rsid w:val="00617B8A"/>
    <w:rsid w:val="00617E38"/>
    <w:rsid w:val="006230CF"/>
    <w:rsid w:val="006329D7"/>
    <w:rsid w:val="00640DA0"/>
    <w:rsid w:val="006532B7"/>
    <w:rsid w:val="006576FB"/>
    <w:rsid w:val="00660638"/>
    <w:rsid w:val="00680246"/>
    <w:rsid w:val="00693C2C"/>
    <w:rsid w:val="006966F7"/>
    <w:rsid w:val="006A08CC"/>
    <w:rsid w:val="006A1909"/>
    <w:rsid w:val="006A23E9"/>
    <w:rsid w:val="006B2282"/>
    <w:rsid w:val="006B3C9F"/>
    <w:rsid w:val="006B512D"/>
    <w:rsid w:val="006B6305"/>
    <w:rsid w:val="006B7D52"/>
    <w:rsid w:val="006C11B6"/>
    <w:rsid w:val="006C176D"/>
    <w:rsid w:val="006C55F9"/>
    <w:rsid w:val="006C57B3"/>
    <w:rsid w:val="006D0964"/>
    <w:rsid w:val="006D15DE"/>
    <w:rsid w:val="006E06FE"/>
    <w:rsid w:val="006F3535"/>
    <w:rsid w:val="006F4AB6"/>
    <w:rsid w:val="006F53BD"/>
    <w:rsid w:val="006F6326"/>
    <w:rsid w:val="0070051F"/>
    <w:rsid w:val="00701EC4"/>
    <w:rsid w:val="00705168"/>
    <w:rsid w:val="007074E2"/>
    <w:rsid w:val="007111DC"/>
    <w:rsid w:val="0071377C"/>
    <w:rsid w:val="00715E82"/>
    <w:rsid w:val="00716893"/>
    <w:rsid w:val="0072439F"/>
    <w:rsid w:val="00725088"/>
    <w:rsid w:val="00730056"/>
    <w:rsid w:val="0073068B"/>
    <w:rsid w:val="00734642"/>
    <w:rsid w:val="00741864"/>
    <w:rsid w:val="00741A7B"/>
    <w:rsid w:val="007432BB"/>
    <w:rsid w:val="00745F3D"/>
    <w:rsid w:val="00747343"/>
    <w:rsid w:val="007501E7"/>
    <w:rsid w:val="0075138C"/>
    <w:rsid w:val="00754F45"/>
    <w:rsid w:val="007570AC"/>
    <w:rsid w:val="00761524"/>
    <w:rsid w:val="00763A60"/>
    <w:rsid w:val="0077058E"/>
    <w:rsid w:val="00770F35"/>
    <w:rsid w:val="00771AFC"/>
    <w:rsid w:val="00777986"/>
    <w:rsid w:val="00783BFA"/>
    <w:rsid w:val="007840F2"/>
    <w:rsid w:val="007904F1"/>
    <w:rsid w:val="00790A67"/>
    <w:rsid w:val="00793D63"/>
    <w:rsid w:val="007952B0"/>
    <w:rsid w:val="007A3F09"/>
    <w:rsid w:val="007A6660"/>
    <w:rsid w:val="007B1B41"/>
    <w:rsid w:val="007B1DCD"/>
    <w:rsid w:val="007B30DC"/>
    <w:rsid w:val="007B4189"/>
    <w:rsid w:val="007B5AC7"/>
    <w:rsid w:val="007B5C2D"/>
    <w:rsid w:val="007B71A7"/>
    <w:rsid w:val="007C4FA5"/>
    <w:rsid w:val="007C5306"/>
    <w:rsid w:val="007C6C7F"/>
    <w:rsid w:val="007C7057"/>
    <w:rsid w:val="007D07E0"/>
    <w:rsid w:val="007D26DD"/>
    <w:rsid w:val="007D2736"/>
    <w:rsid w:val="007E487D"/>
    <w:rsid w:val="007E77A7"/>
    <w:rsid w:val="007F0DC4"/>
    <w:rsid w:val="008039C9"/>
    <w:rsid w:val="00807480"/>
    <w:rsid w:val="0080756F"/>
    <w:rsid w:val="00810446"/>
    <w:rsid w:val="00815B13"/>
    <w:rsid w:val="00826095"/>
    <w:rsid w:val="008314E8"/>
    <w:rsid w:val="00831531"/>
    <w:rsid w:val="008431AF"/>
    <w:rsid w:val="00850D64"/>
    <w:rsid w:val="00852E62"/>
    <w:rsid w:val="0085362C"/>
    <w:rsid w:val="008569C7"/>
    <w:rsid w:val="00856BB2"/>
    <w:rsid w:val="0086486B"/>
    <w:rsid w:val="008710D2"/>
    <w:rsid w:val="00875A48"/>
    <w:rsid w:val="008808EA"/>
    <w:rsid w:val="008918F6"/>
    <w:rsid w:val="00895B3E"/>
    <w:rsid w:val="00896746"/>
    <w:rsid w:val="008A2198"/>
    <w:rsid w:val="008A2DDB"/>
    <w:rsid w:val="008A5992"/>
    <w:rsid w:val="008A5C65"/>
    <w:rsid w:val="008A7BDE"/>
    <w:rsid w:val="008B36A1"/>
    <w:rsid w:val="008C0F98"/>
    <w:rsid w:val="008C343E"/>
    <w:rsid w:val="008C357D"/>
    <w:rsid w:val="008C6DD4"/>
    <w:rsid w:val="008C734D"/>
    <w:rsid w:val="008D3EF6"/>
    <w:rsid w:val="008D736D"/>
    <w:rsid w:val="008D7DF3"/>
    <w:rsid w:val="008E1D1E"/>
    <w:rsid w:val="008E1FBE"/>
    <w:rsid w:val="008F4527"/>
    <w:rsid w:val="008F4D3D"/>
    <w:rsid w:val="009048C6"/>
    <w:rsid w:val="00905D23"/>
    <w:rsid w:val="00906267"/>
    <w:rsid w:val="00907D20"/>
    <w:rsid w:val="00907E07"/>
    <w:rsid w:val="00920B25"/>
    <w:rsid w:val="00922763"/>
    <w:rsid w:val="00924639"/>
    <w:rsid w:val="00924EE3"/>
    <w:rsid w:val="00926A33"/>
    <w:rsid w:val="0093405C"/>
    <w:rsid w:val="0093690D"/>
    <w:rsid w:val="0093708C"/>
    <w:rsid w:val="00937629"/>
    <w:rsid w:val="00943906"/>
    <w:rsid w:val="009505FA"/>
    <w:rsid w:val="00950A21"/>
    <w:rsid w:val="009546AB"/>
    <w:rsid w:val="009556E9"/>
    <w:rsid w:val="0096314D"/>
    <w:rsid w:val="009675EB"/>
    <w:rsid w:val="00973EE6"/>
    <w:rsid w:val="0097609E"/>
    <w:rsid w:val="0098482F"/>
    <w:rsid w:val="00984E49"/>
    <w:rsid w:val="0099740F"/>
    <w:rsid w:val="009A146A"/>
    <w:rsid w:val="009A2CD9"/>
    <w:rsid w:val="009B6BCF"/>
    <w:rsid w:val="009B7F14"/>
    <w:rsid w:val="009C22EE"/>
    <w:rsid w:val="009C7AA5"/>
    <w:rsid w:val="009D018F"/>
    <w:rsid w:val="009D034F"/>
    <w:rsid w:val="009D0D02"/>
    <w:rsid w:val="009D1DDE"/>
    <w:rsid w:val="009D53CD"/>
    <w:rsid w:val="009D627B"/>
    <w:rsid w:val="009D6377"/>
    <w:rsid w:val="009E103F"/>
    <w:rsid w:val="009E1877"/>
    <w:rsid w:val="009E6A70"/>
    <w:rsid w:val="009F3C7E"/>
    <w:rsid w:val="009F3D75"/>
    <w:rsid w:val="009F3E6A"/>
    <w:rsid w:val="009F656F"/>
    <w:rsid w:val="009F6DF6"/>
    <w:rsid w:val="00A03585"/>
    <w:rsid w:val="00A1280A"/>
    <w:rsid w:val="00A13EAB"/>
    <w:rsid w:val="00A14080"/>
    <w:rsid w:val="00A16077"/>
    <w:rsid w:val="00A178D8"/>
    <w:rsid w:val="00A203B2"/>
    <w:rsid w:val="00A3203F"/>
    <w:rsid w:val="00A36304"/>
    <w:rsid w:val="00A36B40"/>
    <w:rsid w:val="00A50EE6"/>
    <w:rsid w:val="00A55FB9"/>
    <w:rsid w:val="00A6009E"/>
    <w:rsid w:val="00A63790"/>
    <w:rsid w:val="00A66586"/>
    <w:rsid w:val="00A67B71"/>
    <w:rsid w:val="00A67BD9"/>
    <w:rsid w:val="00A75E56"/>
    <w:rsid w:val="00A76018"/>
    <w:rsid w:val="00A82A06"/>
    <w:rsid w:val="00A8740C"/>
    <w:rsid w:val="00A91220"/>
    <w:rsid w:val="00AA0977"/>
    <w:rsid w:val="00AA0B4F"/>
    <w:rsid w:val="00AA0E08"/>
    <w:rsid w:val="00AB2F47"/>
    <w:rsid w:val="00AB301D"/>
    <w:rsid w:val="00AC0622"/>
    <w:rsid w:val="00AD2BDD"/>
    <w:rsid w:val="00AD3FA2"/>
    <w:rsid w:val="00AD5BDF"/>
    <w:rsid w:val="00AE7809"/>
    <w:rsid w:val="00AE7838"/>
    <w:rsid w:val="00AE7FC6"/>
    <w:rsid w:val="00AF5DB5"/>
    <w:rsid w:val="00AF7591"/>
    <w:rsid w:val="00B00719"/>
    <w:rsid w:val="00B01C7C"/>
    <w:rsid w:val="00B07FF5"/>
    <w:rsid w:val="00B13842"/>
    <w:rsid w:val="00B176E0"/>
    <w:rsid w:val="00B20435"/>
    <w:rsid w:val="00B21C3F"/>
    <w:rsid w:val="00B221DA"/>
    <w:rsid w:val="00B234E7"/>
    <w:rsid w:val="00B256D3"/>
    <w:rsid w:val="00B434C1"/>
    <w:rsid w:val="00B50663"/>
    <w:rsid w:val="00B5557E"/>
    <w:rsid w:val="00B55E9F"/>
    <w:rsid w:val="00B63E54"/>
    <w:rsid w:val="00B66AB9"/>
    <w:rsid w:val="00B66C53"/>
    <w:rsid w:val="00B72D82"/>
    <w:rsid w:val="00B86A15"/>
    <w:rsid w:val="00B9226D"/>
    <w:rsid w:val="00B96949"/>
    <w:rsid w:val="00BB618A"/>
    <w:rsid w:val="00BB701D"/>
    <w:rsid w:val="00BB7F9C"/>
    <w:rsid w:val="00BC222C"/>
    <w:rsid w:val="00BC6448"/>
    <w:rsid w:val="00BC64F7"/>
    <w:rsid w:val="00BC6515"/>
    <w:rsid w:val="00BD08FD"/>
    <w:rsid w:val="00BD0B56"/>
    <w:rsid w:val="00BD0DDD"/>
    <w:rsid w:val="00BD1C0C"/>
    <w:rsid w:val="00BF49FF"/>
    <w:rsid w:val="00BF6AD2"/>
    <w:rsid w:val="00C05A0F"/>
    <w:rsid w:val="00C076F8"/>
    <w:rsid w:val="00C163EA"/>
    <w:rsid w:val="00C20853"/>
    <w:rsid w:val="00C20E4D"/>
    <w:rsid w:val="00C22947"/>
    <w:rsid w:val="00C25101"/>
    <w:rsid w:val="00C27E6A"/>
    <w:rsid w:val="00C34973"/>
    <w:rsid w:val="00C359C5"/>
    <w:rsid w:val="00C37245"/>
    <w:rsid w:val="00C372CD"/>
    <w:rsid w:val="00C37C8F"/>
    <w:rsid w:val="00C37EC0"/>
    <w:rsid w:val="00C43957"/>
    <w:rsid w:val="00C440C7"/>
    <w:rsid w:val="00C4547B"/>
    <w:rsid w:val="00C531B3"/>
    <w:rsid w:val="00C54789"/>
    <w:rsid w:val="00C55FBF"/>
    <w:rsid w:val="00C61B87"/>
    <w:rsid w:val="00C638AC"/>
    <w:rsid w:val="00C70A79"/>
    <w:rsid w:val="00C73493"/>
    <w:rsid w:val="00C80334"/>
    <w:rsid w:val="00C839B9"/>
    <w:rsid w:val="00C850EB"/>
    <w:rsid w:val="00C902DE"/>
    <w:rsid w:val="00C91DB1"/>
    <w:rsid w:val="00CA3F8E"/>
    <w:rsid w:val="00CB001D"/>
    <w:rsid w:val="00CB071D"/>
    <w:rsid w:val="00CB4038"/>
    <w:rsid w:val="00CB459B"/>
    <w:rsid w:val="00CC2E14"/>
    <w:rsid w:val="00CD1CB6"/>
    <w:rsid w:val="00CD4961"/>
    <w:rsid w:val="00CD5453"/>
    <w:rsid w:val="00CE49B7"/>
    <w:rsid w:val="00CE4BC5"/>
    <w:rsid w:val="00CE6DEB"/>
    <w:rsid w:val="00CF13E6"/>
    <w:rsid w:val="00CF4897"/>
    <w:rsid w:val="00CF5C19"/>
    <w:rsid w:val="00CF75A9"/>
    <w:rsid w:val="00CF7C61"/>
    <w:rsid w:val="00D0031D"/>
    <w:rsid w:val="00D014FF"/>
    <w:rsid w:val="00D04483"/>
    <w:rsid w:val="00D10CB3"/>
    <w:rsid w:val="00D2065B"/>
    <w:rsid w:val="00D244CD"/>
    <w:rsid w:val="00D2536E"/>
    <w:rsid w:val="00D25372"/>
    <w:rsid w:val="00D2664A"/>
    <w:rsid w:val="00D26696"/>
    <w:rsid w:val="00D34666"/>
    <w:rsid w:val="00D418C5"/>
    <w:rsid w:val="00D45E26"/>
    <w:rsid w:val="00D5027F"/>
    <w:rsid w:val="00D51100"/>
    <w:rsid w:val="00D51CEB"/>
    <w:rsid w:val="00D53307"/>
    <w:rsid w:val="00D54693"/>
    <w:rsid w:val="00D572AE"/>
    <w:rsid w:val="00D6754B"/>
    <w:rsid w:val="00D73111"/>
    <w:rsid w:val="00D7626B"/>
    <w:rsid w:val="00D81343"/>
    <w:rsid w:val="00D8163C"/>
    <w:rsid w:val="00D84BA0"/>
    <w:rsid w:val="00D86409"/>
    <w:rsid w:val="00D8660E"/>
    <w:rsid w:val="00D957BD"/>
    <w:rsid w:val="00D97B1C"/>
    <w:rsid w:val="00DA0E97"/>
    <w:rsid w:val="00DA176C"/>
    <w:rsid w:val="00DA63D0"/>
    <w:rsid w:val="00DB0878"/>
    <w:rsid w:val="00DB1AE0"/>
    <w:rsid w:val="00DB3566"/>
    <w:rsid w:val="00DB6161"/>
    <w:rsid w:val="00DC2F64"/>
    <w:rsid w:val="00DC4C68"/>
    <w:rsid w:val="00DC6995"/>
    <w:rsid w:val="00DC7317"/>
    <w:rsid w:val="00DD47A9"/>
    <w:rsid w:val="00DE010D"/>
    <w:rsid w:val="00DE139D"/>
    <w:rsid w:val="00DE2E89"/>
    <w:rsid w:val="00DE3681"/>
    <w:rsid w:val="00DE51C5"/>
    <w:rsid w:val="00E02D20"/>
    <w:rsid w:val="00E14D81"/>
    <w:rsid w:val="00E25A22"/>
    <w:rsid w:val="00E2655A"/>
    <w:rsid w:val="00E3122D"/>
    <w:rsid w:val="00E329A3"/>
    <w:rsid w:val="00E4053F"/>
    <w:rsid w:val="00E40C55"/>
    <w:rsid w:val="00E51842"/>
    <w:rsid w:val="00E6029F"/>
    <w:rsid w:val="00E662AF"/>
    <w:rsid w:val="00E6737C"/>
    <w:rsid w:val="00E707E5"/>
    <w:rsid w:val="00E7238D"/>
    <w:rsid w:val="00E752D6"/>
    <w:rsid w:val="00E755E2"/>
    <w:rsid w:val="00E76EFE"/>
    <w:rsid w:val="00E80337"/>
    <w:rsid w:val="00E821F9"/>
    <w:rsid w:val="00E92A40"/>
    <w:rsid w:val="00E96010"/>
    <w:rsid w:val="00E9611C"/>
    <w:rsid w:val="00EA1CF0"/>
    <w:rsid w:val="00EA230F"/>
    <w:rsid w:val="00EB136C"/>
    <w:rsid w:val="00EB7871"/>
    <w:rsid w:val="00EC68F0"/>
    <w:rsid w:val="00ED0A24"/>
    <w:rsid w:val="00ED1499"/>
    <w:rsid w:val="00ED391D"/>
    <w:rsid w:val="00EE26E5"/>
    <w:rsid w:val="00F043D1"/>
    <w:rsid w:val="00F0779D"/>
    <w:rsid w:val="00F13AB3"/>
    <w:rsid w:val="00F214BF"/>
    <w:rsid w:val="00F215A8"/>
    <w:rsid w:val="00F21DC6"/>
    <w:rsid w:val="00F22F90"/>
    <w:rsid w:val="00F23F46"/>
    <w:rsid w:val="00F25703"/>
    <w:rsid w:val="00F257E9"/>
    <w:rsid w:val="00F267F9"/>
    <w:rsid w:val="00F277AD"/>
    <w:rsid w:val="00F32860"/>
    <w:rsid w:val="00F344D2"/>
    <w:rsid w:val="00F35B6C"/>
    <w:rsid w:val="00F41DBF"/>
    <w:rsid w:val="00F519C2"/>
    <w:rsid w:val="00F55727"/>
    <w:rsid w:val="00F57DBD"/>
    <w:rsid w:val="00F7018A"/>
    <w:rsid w:val="00F73CE5"/>
    <w:rsid w:val="00F75B01"/>
    <w:rsid w:val="00F763DF"/>
    <w:rsid w:val="00F808F8"/>
    <w:rsid w:val="00F809D0"/>
    <w:rsid w:val="00F8251F"/>
    <w:rsid w:val="00F82F49"/>
    <w:rsid w:val="00F856E7"/>
    <w:rsid w:val="00F91906"/>
    <w:rsid w:val="00F926C7"/>
    <w:rsid w:val="00F93079"/>
    <w:rsid w:val="00F958BF"/>
    <w:rsid w:val="00F97403"/>
    <w:rsid w:val="00F9740E"/>
    <w:rsid w:val="00F974EB"/>
    <w:rsid w:val="00FA392B"/>
    <w:rsid w:val="00FA75E5"/>
    <w:rsid w:val="00FB2D48"/>
    <w:rsid w:val="00FB425B"/>
    <w:rsid w:val="00FB736E"/>
    <w:rsid w:val="00FC2242"/>
    <w:rsid w:val="00FC43B1"/>
    <w:rsid w:val="00FD092E"/>
    <w:rsid w:val="00FF2B0B"/>
    <w:rsid w:val="00FF6D0A"/>
    <w:rsid w:val="0109001B"/>
    <w:rsid w:val="02AB2482"/>
    <w:rsid w:val="0410BA96"/>
    <w:rsid w:val="048A5316"/>
    <w:rsid w:val="0493FD4A"/>
    <w:rsid w:val="0634F7E9"/>
    <w:rsid w:val="0710C7D2"/>
    <w:rsid w:val="07BBD6CF"/>
    <w:rsid w:val="07FA8F59"/>
    <w:rsid w:val="08EF9208"/>
    <w:rsid w:val="09125FC7"/>
    <w:rsid w:val="099B9138"/>
    <w:rsid w:val="0A0F4CBE"/>
    <w:rsid w:val="0A615D2F"/>
    <w:rsid w:val="0A792990"/>
    <w:rsid w:val="0B085EBE"/>
    <w:rsid w:val="0B2FC9CE"/>
    <w:rsid w:val="0C8FCBD4"/>
    <w:rsid w:val="0D9B6C06"/>
    <w:rsid w:val="0E2C7B46"/>
    <w:rsid w:val="0E92F733"/>
    <w:rsid w:val="0E9DE025"/>
    <w:rsid w:val="0EC79F29"/>
    <w:rsid w:val="0F83EEDE"/>
    <w:rsid w:val="1036DA9E"/>
    <w:rsid w:val="105C7D4D"/>
    <w:rsid w:val="16D940D3"/>
    <w:rsid w:val="1726D185"/>
    <w:rsid w:val="17747A97"/>
    <w:rsid w:val="19103F56"/>
    <w:rsid w:val="191EA5E4"/>
    <w:rsid w:val="1A7CEF08"/>
    <w:rsid w:val="1A8514A0"/>
    <w:rsid w:val="1CBF5E62"/>
    <w:rsid w:val="1E39F460"/>
    <w:rsid w:val="2027686E"/>
    <w:rsid w:val="210890EA"/>
    <w:rsid w:val="21883944"/>
    <w:rsid w:val="22238A87"/>
    <w:rsid w:val="23794B9E"/>
    <w:rsid w:val="26A5B511"/>
    <w:rsid w:val="273C0148"/>
    <w:rsid w:val="27E2FA01"/>
    <w:rsid w:val="28051ED8"/>
    <w:rsid w:val="295396D7"/>
    <w:rsid w:val="2C17ED40"/>
    <w:rsid w:val="2CC19702"/>
    <w:rsid w:val="2F23828D"/>
    <w:rsid w:val="2F28A117"/>
    <w:rsid w:val="3051131A"/>
    <w:rsid w:val="30AB7C83"/>
    <w:rsid w:val="30B48483"/>
    <w:rsid w:val="30CD906F"/>
    <w:rsid w:val="3111B57C"/>
    <w:rsid w:val="319F0A52"/>
    <w:rsid w:val="328DC07C"/>
    <w:rsid w:val="35939800"/>
    <w:rsid w:val="35BF122B"/>
    <w:rsid w:val="3615FBEF"/>
    <w:rsid w:val="372D9C04"/>
    <w:rsid w:val="3828D142"/>
    <w:rsid w:val="390ACD92"/>
    <w:rsid w:val="3B1E4AFA"/>
    <w:rsid w:val="400717B7"/>
    <w:rsid w:val="40A4E6EB"/>
    <w:rsid w:val="41552F6F"/>
    <w:rsid w:val="436153B7"/>
    <w:rsid w:val="437A6E84"/>
    <w:rsid w:val="455D85EF"/>
    <w:rsid w:val="456C18CB"/>
    <w:rsid w:val="45EDB968"/>
    <w:rsid w:val="472A2C0C"/>
    <w:rsid w:val="48243FA6"/>
    <w:rsid w:val="485A22EB"/>
    <w:rsid w:val="49079DC7"/>
    <w:rsid w:val="4D990368"/>
    <w:rsid w:val="4DA7CC53"/>
    <w:rsid w:val="4E22605C"/>
    <w:rsid w:val="50FF89B2"/>
    <w:rsid w:val="51747DC6"/>
    <w:rsid w:val="53292295"/>
    <w:rsid w:val="5506E0F5"/>
    <w:rsid w:val="56DAC945"/>
    <w:rsid w:val="56E51741"/>
    <w:rsid w:val="56F7CAAE"/>
    <w:rsid w:val="58F4329E"/>
    <w:rsid w:val="592B397C"/>
    <w:rsid w:val="594254AD"/>
    <w:rsid w:val="59B37D5E"/>
    <w:rsid w:val="5B5F0257"/>
    <w:rsid w:val="5C904D06"/>
    <w:rsid w:val="5CEB8199"/>
    <w:rsid w:val="5D2F79E9"/>
    <w:rsid w:val="5D57B0DC"/>
    <w:rsid w:val="60352934"/>
    <w:rsid w:val="60D90E2F"/>
    <w:rsid w:val="61542397"/>
    <w:rsid w:val="61750AFD"/>
    <w:rsid w:val="623BD8E3"/>
    <w:rsid w:val="62768DE6"/>
    <w:rsid w:val="62B14E4D"/>
    <w:rsid w:val="63178638"/>
    <w:rsid w:val="64EAE52E"/>
    <w:rsid w:val="65EDBE1C"/>
    <w:rsid w:val="664222CB"/>
    <w:rsid w:val="665FF623"/>
    <w:rsid w:val="672A2B39"/>
    <w:rsid w:val="67B610D7"/>
    <w:rsid w:val="693A0A52"/>
    <w:rsid w:val="69B49544"/>
    <w:rsid w:val="69BFB515"/>
    <w:rsid w:val="69E33532"/>
    <w:rsid w:val="6A3747D8"/>
    <w:rsid w:val="6B882F16"/>
    <w:rsid w:val="6D6EA255"/>
    <w:rsid w:val="6EE1D4E0"/>
    <w:rsid w:val="711DEC31"/>
    <w:rsid w:val="718E3004"/>
    <w:rsid w:val="71A4B8EE"/>
    <w:rsid w:val="71CF5493"/>
    <w:rsid w:val="730980ED"/>
    <w:rsid w:val="73E7D57E"/>
    <w:rsid w:val="7555D094"/>
    <w:rsid w:val="75C60DE7"/>
    <w:rsid w:val="767D3722"/>
    <w:rsid w:val="77C025D7"/>
    <w:rsid w:val="789C1A35"/>
    <w:rsid w:val="7902EBDC"/>
    <w:rsid w:val="7A0E7398"/>
    <w:rsid w:val="7F0E85D5"/>
    <w:rsid w:val="7F0FF85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DC5B80"/>
  <w15:chartTrackingRefBased/>
  <w15:docId w15:val="{7A18A927-869B-4248-9AC1-ADCD1C15A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uiPriority w:val="9"/>
    <w:qFormat/>
    <w:rsid w:val="001545CB"/>
    <w:pPr>
      <w:outlineLvl w:val="0"/>
    </w:pPr>
    <w:rPr>
      <w:sz w:val="36"/>
    </w:rPr>
  </w:style>
  <w:style w:type="paragraph" w:styleId="Heading2">
    <w:name w:val="heading 2"/>
    <w:basedOn w:val="Normal"/>
    <w:next w:val="Normal"/>
    <w:link w:val="Heading2Char"/>
    <w:uiPriority w:val="9"/>
    <w:unhideWhenUsed/>
    <w:qFormat/>
    <w:rsid w:val="001545CB"/>
    <w:pPr>
      <w:keepNext/>
      <w:keepLines/>
      <w:spacing w:before="40"/>
      <w:outlineLvl w:val="1"/>
    </w:pPr>
    <w:rPr>
      <w:rFonts w:asciiTheme="majorHAnsi" w:eastAsiaTheme="majorEastAsia" w:hAnsiTheme="majorHAnsi" w:cstheme="majorBidi"/>
      <w:b/>
      <w:color w:val="2F5496" w:themeColor="accent1" w:themeShade="BF"/>
      <w:sz w:val="32"/>
      <w:szCs w:val="26"/>
    </w:rPr>
  </w:style>
  <w:style w:type="paragraph" w:styleId="Heading3">
    <w:name w:val="heading 3"/>
    <w:basedOn w:val="Heading2"/>
    <w:next w:val="Normal"/>
    <w:link w:val="Heading3Char"/>
    <w:uiPriority w:val="9"/>
    <w:unhideWhenUsed/>
    <w:qFormat/>
    <w:rsid w:val="001545CB"/>
    <w:pPr>
      <w:outlineLvl w:val="2"/>
    </w:pPr>
    <w:rPr>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5F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45F3D"/>
    <w:pPr>
      <w:spacing w:before="100" w:beforeAutospacing="1" w:after="100" w:afterAutospacing="1"/>
    </w:pPr>
    <w:rPr>
      <w:rFonts w:ascii="Times New Roman" w:eastAsia="Times New Roman" w:hAnsi="Times New Roman" w:cs="Times New Roman"/>
      <w:lang w:eastAsia="en-GB"/>
    </w:rPr>
  </w:style>
  <w:style w:type="paragraph" w:styleId="Footer">
    <w:name w:val="footer"/>
    <w:basedOn w:val="Normal"/>
    <w:link w:val="FooterChar"/>
    <w:uiPriority w:val="99"/>
    <w:unhideWhenUsed/>
    <w:rsid w:val="005431E5"/>
    <w:pPr>
      <w:tabs>
        <w:tab w:val="center" w:pos="4513"/>
        <w:tab w:val="right" w:pos="9026"/>
      </w:tabs>
    </w:pPr>
  </w:style>
  <w:style w:type="character" w:customStyle="1" w:styleId="FooterChar">
    <w:name w:val="Footer Char"/>
    <w:basedOn w:val="DefaultParagraphFont"/>
    <w:link w:val="Footer"/>
    <w:uiPriority w:val="99"/>
    <w:rsid w:val="005431E5"/>
  </w:style>
  <w:style w:type="character" w:styleId="PageNumber">
    <w:name w:val="page number"/>
    <w:basedOn w:val="DefaultParagraphFont"/>
    <w:uiPriority w:val="99"/>
    <w:semiHidden/>
    <w:unhideWhenUsed/>
    <w:rsid w:val="005431E5"/>
  </w:style>
  <w:style w:type="character" w:styleId="CommentReference">
    <w:name w:val="annotation reference"/>
    <w:basedOn w:val="DefaultParagraphFont"/>
    <w:uiPriority w:val="99"/>
    <w:semiHidden/>
    <w:unhideWhenUsed/>
    <w:rsid w:val="00895B3E"/>
    <w:rPr>
      <w:sz w:val="16"/>
      <w:szCs w:val="16"/>
    </w:rPr>
  </w:style>
  <w:style w:type="paragraph" w:styleId="CommentText">
    <w:name w:val="annotation text"/>
    <w:basedOn w:val="Normal"/>
    <w:link w:val="CommentTextChar"/>
    <w:uiPriority w:val="99"/>
    <w:unhideWhenUsed/>
    <w:rsid w:val="00895B3E"/>
    <w:rPr>
      <w:sz w:val="20"/>
      <w:szCs w:val="20"/>
    </w:rPr>
  </w:style>
  <w:style w:type="character" w:customStyle="1" w:styleId="CommentTextChar">
    <w:name w:val="Comment Text Char"/>
    <w:basedOn w:val="DefaultParagraphFont"/>
    <w:link w:val="CommentText"/>
    <w:uiPriority w:val="99"/>
    <w:rsid w:val="00895B3E"/>
    <w:rPr>
      <w:sz w:val="20"/>
      <w:szCs w:val="20"/>
    </w:rPr>
  </w:style>
  <w:style w:type="paragraph" w:styleId="CommentSubject">
    <w:name w:val="annotation subject"/>
    <w:basedOn w:val="CommentText"/>
    <w:next w:val="CommentText"/>
    <w:link w:val="CommentSubjectChar"/>
    <w:uiPriority w:val="99"/>
    <w:semiHidden/>
    <w:unhideWhenUsed/>
    <w:rsid w:val="00895B3E"/>
    <w:rPr>
      <w:b/>
      <w:bCs/>
    </w:rPr>
  </w:style>
  <w:style w:type="character" w:customStyle="1" w:styleId="CommentSubjectChar">
    <w:name w:val="Comment Subject Char"/>
    <w:basedOn w:val="CommentTextChar"/>
    <w:link w:val="CommentSubject"/>
    <w:uiPriority w:val="99"/>
    <w:semiHidden/>
    <w:rsid w:val="00895B3E"/>
    <w:rPr>
      <w:b/>
      <w:bCs/>
      <w:sz w:val="20"/>
      <w:szCs w:val="20"/>
    </w:rPr>
  </w:style>
  <w:style w:type="paragraph" w:styleId="Header">
    <w:name w:val="header"/>
    <w:basedOn w:val="Normal"/>
    <w:link w:val="HeaderChar"/>
    <w:uiPriority w:val="99"/>
    <w:unhideWhenUsed/>
    <w:rsid w:val="00922763"/>
    <w:pPr>
      <w:tabs>
        <w:tab w:val="center" w:pos="4513"/>
        <w:tab w:val="right" w:pos="9026"/>
      </w:tabs>
    </w:pPr>
  </w:style>
  <w:style w:type="character" w:customStyle="1" w:styleId="HeaderChar">
    <w:name w:val="Header Char"/>
    <w:basedOn w:val="DefaultParagraphFont"/>
    <w:link w:val="Header"/>
    <w:uiPriority w:val="99"/>
    <w:rsid w:val="00922763"/>
  </w:style>
  <w:style w:type="paragraph" w:styleId="ListParagraph">
    <w:name w:val="List Paragraph"/>
    <w:basedOn w:val="Normal"/>
    <w:uiPriority w:val="34"/>
    <w:qFormat/>
    <w:rsid w:val="00F215A8"/>
    <w:pPr>
      <w:ind w:left="720"/>
      <w:contextualSpacing/>
    </w:p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116F78"/>
  </w:style>
  <w:style w:type="character" w:styleId="FollowedHyperlink">
    <w:name w:val="FollowedHyperlink"/>
    <w:basedOn w:val="DefaultParagraphFont"/>
    <w:uiPriority w:val="99"/>
    <w:semiHidden/>
    <w:unhideWhenUsed/>
    <w:rsid w:val="001C24E8"/>
    <w:rPr>
      <w:color w:val="954F72" w:themeColor="followedHyperlink"/>
      <w:u w:val="single"/>
    </w:rPr>
  </w:style>
  <w:style w:type="character" w:customStyle="1" w:styleId="Heading1Char">
    <w:name w:val="Heading 1 Char"/>
    <w:basedOn w:val="DefaultParagraphFont"/>
    <w:link w:val="Heading1"/>
    <w:uiPriority w:val="9"/>
    <w:rsid w:val="001545CB"/>
    <w:rPr>
      <w:rFonts w:asciiTheme="majorHAnsi" w:eastAsiaTheme="majorEastAsia" w:hAnsiTheme="majorHAnsi" w:cstheme="majorBidi"/>
      <w:b/>
      <w:color w:val="2F5496" w:themeColor="accent1" w:themeShade="BF"/>
      <w:sz w:val="36"/>
      <w:szCs w:val="26"/>
    </w:rPr>
  </w:style>
  <w:style w:type="paragraph" w:styleId="TOCHeading">
    <w:name w:val="TOC Heading"/>
    <w:basedOn w:val="Heading1"/>
    <w:next w:val="Normal"/>
    <w:uiPriority w:val="39"/>
    <w:unhideWhenUsed/>
    <w:qFormat/>
    <w:rsid w:val="000B374D"/>
    <w:pPr>
      <w:spacing w:line="259" w:lineRule="auto"/>
      <w:outlineLvl w:val="9"/>
    </w:pPr>
    <w:rPr>
      <w:lang w:eastAsia="en-GB"/>
    </w:rPr>
  </w:style>
  <w:style w:type="character" w:customStyle="1" w:styleId="Heading2Char">
    <w:name w:val="Heading 2 Char"/>
    <w:basedOn w:val="DefaultParagraphFont"/>
    <w:link w:val="Heading2"/>
    <w:uiPriority w:val="9"/>
    <w:rsid w:val="001545CB"/>
    <w:rPr>
      <w:rFonts w:asciiTheme="majorHAnsi" w:eastAsiaTheme="majorEastAsia" w:hAnsiTheme="majorHAnsi" w:cstheme="majorBidi"/>
      <w:b/>
      <w:color w:val="2F5496" w:themeColor="accent1" w:themeShade="BF"/>
      <w:sz w:val="32"/>
      <w:szCs w:val="26"/>
    </w:rPr>
  </w:style>
  <w:style w:type="paragraph" w:styleId="TOC1">
    <w:name w:val="toc 1"/>
    <w:basedOn w:val="Normal"/>
    <w:next w:val="Normal"/>
    <w:autoRedefine/>
    <w:uiPriority w:val="39"/>
    <w:unhideWhenUsed/>
    <w:rsid w:val="00DE010D"/>
    <w:pPr>
      <w:spacing w:after="100"/>
    </w:pPr>
  </w:style>
  <w:style w:type="paragraph" w:styleId="TOC2">
    <w:name w:val="toc 2"/>
    <w:basedOn w:val="Normal"/>
    <w:next w:val="Normal"/>
    <w:autoRedefine/>
    <w:uiPriority w:val="39"/>
    <w:unhideWhenUsed/>
    <w:rsid w:val="00306EA7"/>
    <w:pPr>
      <w:tabs>
        <w:tab w:val="right" w:leader="dot" w:pos="13927"/>
      </w:tabs>
      <w:spacing w:after="100"/>
      <w:ind w:left="240" w:right="13"/>
    </w:pPr>
    <w:rPr>
      <w:b/>
      <w:bCs/>
      <w:noProof/>
    </w:rPr>
  </w:style>
  <w:style w:type="paragraph" w:styleId="FootnoteText">
    <w:name w:val="footnote text"/>
    <w:basedOn w:val="Normal"/>
    <w:link w:val="FootnoteTextChar"/>
    <w:uiPriority w:val="99"/>
    <w:semiHidden/>
    <w:unhideWhenUsed/>
    <w:rsid w:val="00455453"/>
    <w:rPr>
      <w:sz w:val="20"/>
      <w:szCs w:val="20"/>
    </w:rPr>
  </w:style>
  <w:style w:type="character" w:customStyle="1" w:styleId="FootnoteTextChar">
    <w:name w:val="Footnote Text Char"/>
    <w:basedOn w:val="DefaultParagraphFont"/>
    <w:link w:val="FootnoteText"/>
    <w:uiPriority w:val="99"/>
    <w:semiHidden/>
    <w:rsid w:val="00455453"/>
    <w:rPr>
      <w:sz w:val="20"/>
      <w:szCs w:val="20"/>
    </w:rPr>
  </w:style>
  <w:style w:type="character" w:styleId="FootnoteReference">
    <w:name w:val="footnote reference"/>
    <w:basedOn w:val="DefaultParagraphFont"/>
    <w:uiPriority w:val="99"/>
    <w:semiHidden/>
    <w:unhideWhenUsed/>
    <w:rsid w:val="00455453"/>
    <w:rPr>
      <w:vertAlign w:val="superscript"/>
    </w:rPr>
  </w:style>
  <w:style w:type="character" w:styleId="UnresolvedMention">
    <w:name w:val="Unresolved Mention"/>
    <w:basedOn w:val="DefaultParagraphFont"/>
    <w:uiPriority w:val="99"/>
    <w:semiHidden/>
    <w:unhideWhenUsed/>
    <w:rsid w:val="003959A5"/>
    <w:rPr>
      <w:color w:val="605E5C"/>
      <w:shd w:val="clear" w:color="auto" w:fill="E1DFDD"/>
    </w:rPr>
  </w:style>
  <w:style w:type="character" w:customStyle="1" w:styleId="Heading3Char">
    <w:name w:val="Heading 3 Char"/>
    <w:basedOn w:val="DefaultParagraphFont"/>
    <w:link w:val="Heading3"/>
    <w:uiPriority w:val="9"/>
    <w:rsid w:val="001545CB"/>
    <w:rPr>
      <w:rFonts w:asciiTheme="majorHAnsi" w:eastAsiaTheme="majorEastAsia" w:hAnsiTheme="majorHAnsi" w:cstheme="majorBidi"/>
      <w:b/>
      <w:bCs/>
      <w:color w:val="2F5496" w:themeColor="accent1" w:themeShade="BF"/>
      <w:sz w:val="28"/>
      <w:szCs w:val="26"/>
    </w:rPr>
  </w:style>
  <w:style w:type="paragraph" w:styleId="TOC3">
    <w:name w:val="toc 3"/>
    <w:basedOn w:val="Normal"/>
    <w:next w:val="Normal"/>
    <w:autoRedefine/>
    <w:uiPriority w:val="39"/>
    <w:unhideWhenUsed/>
    <w:rsid w:val="001461DE"/>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588440">
      <w:bodyDiv w:val="1"/>
      <w:marLeft w:val="0"/>
      <w:marRight w:val="0"/>
      <w:marTop w:val="0"/>
      <w:marBottom w:val="0"/>
      <w:divBdr>
        <w:top w:val="none" w:sz="0" w:space="0" w:color="auto"/>
        <w:left w:val="none" w:sz="0" w:space="0" w:color="auto"/>
        <w:bottom w:val="none" w:sz="0" w:space="0" w:color="auto"/>
        <w:right w:val="none" w:sz="0" w:space="0" w:color="auto"/>
      </w:divBdr>
      <w:divsChild>
        <w:div w:id="764306853">
          <w:marLeft w:val="0"/>
          <w:marRight w:val="0"/>
          <w:marTop w:val="0"/>
          <w:marBottom w:val="0"/>
          <w:divBdr>
            <w:top w:val="none" w:sz="0" w:space="0" w:color="auto"/>
            <w:left w:val="none" w:sz="0" w:space="0" w:color="auto"/>
            <w:bottom w:val="none" w:sz="0" w:space="0" w:color="auto"/>
            <w:right w:val="none" w:sz="0" w:space="0" w:color="auto"/>
          </w:divBdr>
        </w:div>
        <w:div w:id="1640183042">
          <w:marLeft w:val="0"/>
          <w:marRight w:val="0"/>
          <w:marTop w:val="0"/>
          <w:marBottom w:val="0"/>
          <w:divBdr>
            <w:top w:val="none" w:sz="0" w:space="0" w:color="auto"/>
            <w:left w:val="none" w:sz="0" w:space="0" w:color="auto"/>
            <w:bottom w:val="none" w:sz="0" w:space="0" w:color="auto"/>
            <w:right w:val="none" w:sz="0" w:space="0" w:color="auto"/>
          </w:divBdr>
        </w:div>
      </w:divsChild>
    </w:div>
    <w:div w:id="1405644858">
      <w:bodyDiv w:val="1"/>
      <w:marLeft w:val="0"/>
      <w:marRight w:val="0"/>
      <w:marTop w:val="0"/>
      <w:marBottom w:val="0"/>
      <w:divBdr>
        <w:top w:val="none" w:sz="0" w:space="0" w:color="auto"/>
        <w:left w:val="none" w:sz="0" w:space="0" w:color="auto"/>
        <w:bottom w:val="none" w:sz="0" w:space="0" w:color="auto"/>
        <w:right w:val="none" w:sz="0" w:space="0" w:color="auto"/>
      </w:divBdr>
      <w:divsChild>
        <w:div w:id="1552229861">
          <w:marLeft w:val="0"/>
          <w:marRight w:val="0"/>
          <w:marTop w:val="0"/>
          <w:marBottom w:val="0"/>
          <w:divBdr>
            <w:top w:val="none" w:sz="0" w:space="0" w:color="auto"/>
            <w:left w:val="none" w:sz="0" w:space="0" w:color="auto"/>
            <w:bottom w:val="none" w:sz="0" w:space="0" w:color="auto"/>
            <w:right w:val="none" w:sz="0" w:space="0" w:color="auto"/>
          </w:divBdr>
        </w:div>
        <w:div w:id="17211268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fficeforstudents.org.uk/media/24vjecje/conditione10-condition-and-guidance.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media/6936f1ae6a167b6884b7364d/strengthening-oversight-of-partnership-delivery-in-higher-education-government-consultation-response.pdf"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www.officeforstudents.org.uk/media/24vjecje/conditione10-condition-and-guidance.pdf" TargetMode="External"/><Relationship Id="rId1" Type="http://schemas.openxmlformats.org/officeDocument/2006/relationships/hyperlink" Target="https://assets.publishing.service.gov.uk/media/6936f1ae6a167b6884b7364d/strengthening-oversight-of-partnership-delivery-in-higher-education-government-consultation-respons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ABE821F452CE42B9D97AB5A56DA364" ma:contentTypeVersion="19" ma:contentTypeDescription="Create a new document." ma:contentTypeScope="" ma:versionID="cad39dd025b10fe5f3acd36ebe1691d2">
  <xsd:schema xmlns:xsd="http://www.w3.org/2001/XMLSchema" xmlns:xs="http://www.w3.org/2001/XMLSchema" xmlns:p="http://schemas.microsoft.com/office/2006/metadata/properties" xmlns:ns2="9ca82722-5e95-42a9-a449-83ea7bc57c11" xmlns:ns3="f55c9116-270b-43aa-b023-6086b4d35b00" xmlns:ns4="4f0d24af-f387-480c-b50e-d1219f6997a2" targetNamespace="http://schemas.microsoft.com/office/2006/metadata/properties" ma:root="true" ma:fieldsID="26c1d6654e9271930b82b16505935fd4" ns2:_="" ns3:_="" ns4:_="">
    <xsd:import namespace="9ca82722-5e95-42a9-a449-83ea7bc57c11"/>
    <xsd:import namespace="f55c9116-270b-43aa-b023-6086b4d35b00"/>
    <xsd:import namespace="4f0d24af-f387-480c-b50e-d1219f6997a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a82722-5e95-42a9-a449-83ea7bc57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a001f20-ec2a-4d7d-9796-61b63491c7dc"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5c9116-270b-43aa-b023-6086b4d35b0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0d24af-f387-480c-b50e-d1219f6997a2"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c8ed24e2-3f76-434e-b873-19b014fac4f5}" ma:internalName="TaxCatchAll" ma:showField="CatchAllData" ma:web="f55c9116-270b-43aa-b023-6086b4d35b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0d24af-f387-480c-b50e-d1219f6997a2" xsi:nil="true"/>
    <lcf76f155ced4ddcb4097134ff3c332f xmlns="9ca82722-5e95-42a9-a449-83ea7bc57c1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2F5FFD-1CFA-442C-A3C9-8293F6D173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a82722-5e95-42a9-a449-83ea7bc57c11"/>
    <ds:schemaRef ds:uri="f55c9116-270b-43aa-b023-6086b4d35b00"/>
    <ds:schemaRef ds:uri="4f0d24af-f387-480c-b50e-d1219f699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471B8C-82FC-495F-AC11-3F399F418872}">
  <ds:schemaRefs>
    <ds:schemaRef ds:uri="http://schemas.microsoft.com/office/2006/metadata/properties"/>
    <ds:schemaRef ds:uri="http://schemas.microsoft.com/office/infopath/2007/PartnerControls"/>
    <ds:schemaRef ds:uri="4f0d24af-f387-480c-b50e-d1219f6997a2"/>
    <ds:schemaRef ds:uri="9ca82722-5e95-42a9-a449-83ea7bc57c11"/>
  </ds:schemaRefs>
</ds:datastoreItem>
</file>

<file path=customXml/itemProps3.xml><?xml version="1.0" encoding="utf-8"?>
<ds:datastoreItem xmlns:ds="http://schemas.openxmlformats.org/officeDocument/2006/customXml" ds:itemID="{94027E70-CCA3-4FEE-A050-CA656D85934C}">
  <ds:schemaRefs>
    <ds:schemaRef ds:uri="http://schemas.openxmlformats.org/officeDocument/2006/bibliography"/>
  </ds:schemaRefs>
</ds:datastoreItem>
</file>

<file path=customXml/itemProps4.xml><?xml version="1.0" encoding="utf-8"?>
<ds:datastoreItem xmlns:ds="http://schemas.openxmlformats.org/officeDocument/2006/customXml" ds:itemID="{C0FD1FB4-082D-4653-8FE7-09F3C4A5A4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2702</Words>
  <Characters>15403</Characters>
  <Application>Microsoft Office Word</Application>
  <DocSecurity>0</DocSecurity>
  <Lines>128</Lines>
  <Paragraphs>36</Paragraphs>
  <ScaleCrop>false</ScaleCrop>
  <Company/>
  <LinksUpToDate>false</LinksUpToDate>
  <CharactersWithSpaces>18069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Marsden, Susannah</dc:creator>
  <cp:keywords/>
  <dc:description/>
  <cp:lastModifiedBy>Angela Ashby (Staff)</cp:lastModifiedBy>
  <cp:revision>2</cp:revision>
  <cp:lastPrinted>2025-10-22T21:40:00Z</cp:lastPrinted>
  <dcterms:created xsi:type="dcterms:W3CDTF">2026-07-02T10:35:00Z</dcterms:created>
  <dcterms:modified xsi:type="dcterms:W3CDTF">2026-07-02T10:35:00Z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0x010100A8ABE821F452CE42B9D97AB5A56DA364</vt:lpwstr>
  </property>
  <property fmtid="{D5CDD505-2E9C-101B-9397-08002B2CF9AE}" pid="3" name="MediaServiceImageTags">
    <vt:lpwstr/>
  </property>
  <property fmtid="{D5CDD505-2E9C-101B-9397-08002B2CF9AE}" pid="4" name="Order">
    <vt:r8>36500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