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830EC" w14:textId="2DD97AD8" w:rsidR="00B87F02" w:rsidRDefault="00B87F02">
      <w:pPr>
        <w:spacing w:before="100" w:after="100"/>
        <w:rPr>
          <w:rFonts w:eastAsia="Times New Roman"/>
          <w:b/>
          <w:bCs/>
          <w:sz w:val="32"/>
          <w:szCs w:val="32"/>
          <w:lang w:eastAsia="en-GB"/>
        </w:rPr>
      </w:pPr>
      <w:r>
        <w:rPr>
          <w:noProof/>
        </w:rPr>
        <w:drawing>
          <wp:inline distT="0" distB="0" distL="0" distR="0" wp14:anchorId="0B4A7149" wp14:editId="4D7DA6CB">
            <wp:extent cx="2152799" cy="838797"/>
            <wp:effectExtent l="0" t="0" r="0" b="0"/>
            <wp:docPr id="2108022183" name="Picture 76" descr="Research Excellence Framework 2029 logo."/>
            <wp:cNvGraphicFramePr/>
            <a:graphic xmlns:a="http://schemas.openxmlformats.org/drawingml/2006/main">
              <a:graphicData uri="http://schemas.openxmlformats.org/drawingml/2006/picture">
                <pic:pic xmlns:pic="http://schemas.openxmlformats.org/drawingml/2006/picture">
                  <pic:nvPicPr>
                    <pic:cNvPr id="2108022183" name="Picture 76" descr="Research Excellence Framework 2029 logo."/>
                    <pic:cNvPicPr/>
                  </pic:nvPicPr>
                  <pic:blipFill>
                    <a:blip r:embed="rId7"/>
                    <a:stretch>
                      <a:fillRect/>
                    </a:stretch>
                  </pic:blipFill>
                  <pic:spPr>
                    <a:xfrm>
                      <a:off x="0" y="0"/>
                      <a:ext cx="2152799" cy="838797"/>
                    </a:xfrm>
                    <a:prstGeom prst="rect">
                      <a:avLst/>
                    </a:prstGeom>
                    <a:noFill/>
                    <a:ln>
                      <a:noFill/>
                      <a:prstDash/>
                    </a:ln>
                  </pic:spPr>
                </pic:pic>
              </a:graphicData>
            </a:graphic>
          </wp:inline>
        </w:drawing>
      </w:r>
    </w:p>
    <w:p w14:paraId="48DEBA12" w14:textId="0B49308C" w:rsidR="00840FBF" w:rsidRPr="00B87F02" w:rsidRDefault="009071C6" w:rsidP="00B87F02">
      <w:pPr>
        <w:pStyle w:val="Heading1"/>
      </w:pPr>
      <w:r w:rsidRPr="00B87F02">
        <w:t>Code of Practice template</w:t>
      </w:r>
    </w:p>
    <w:p w14:paraId="106284B3" w14:textId="77777777" w:rsidR="00B87F02" w:rsidRDefault="00B87F02" w:rsidP="00211704">
      <w:pPr>
        <w:pBdr>
          <w:top w:val="single" w:sz="4" w:space="1" w:color="auto"/>
          <w:left w:val="single" w:sz="4" w:space="4" w:color="auto"/>
          <w:bottom w:val="single" w:sz="4" w:space="1" w:color="auto"/>
          <w:right w:val="single" w:sz="4" w:space="4" w:color="auto"/>
        </w:pBdr>
        <w:spacing w:before="100" w:after="100"/>
      </w:pPr>
      <w:r>
        <w:rPr>
          <w:rFonts w:eastAsia="Times New Roman"/>
          <w:b/>
          <w:bCs/>
          <w:sz w:val="22"/>
          <w:lang w:eastAsia="en-GB"/>
        </w:rPr>
        <w:t>Institution name: Birkbeck, University of London</w:t>
      </w:r>
    </w:p>
    <w:p w14:paraId="2E898405" w14:textId="77777777" w:rsidR="00B87F02" w:rsidRDefault="00B87F02" w:rsidP="00211704">
      <w:pPr>
        <w:pBdr>
          <w:top w:val="single" w:sz="4" w:space="1" w:color="auto"/>
          <w:left w:val="single" w:sz="4" w:space="4" w:color="auto"/>
          <w:bottom w:val="single" w:sz="4" w:space="1" w:color="auto"/>
          <w:right w:val="single" w:sz="4" w:space="4" w:color="auto"/>
        </w:pBdr>
        <w:spacing w:before="100" w:after="100"/>
        <w:rPr>
          <w:rFonts w:eastAsia="Times New Roman"/>
          <w:b/>
          <w:bCs/>
          <w:sz w:val="22"/>
          <w:lang w:eastAsia="en-GB"/>
        </w:rPr>
      </w:pPr>
      <w:r>
        <w:rPr>
          <w:rFonts w:eastAsia="Times New Roman"/>
          <w:b/>
          <w:bCs/>
          <w:sz w:val="22"/>
          <w:lang w:eastAsia="en-GB"/>
        </w:rPr>
        <w:t>Date of submission: 11/05/2026</w:t>
      </w:r>
    </w:p>
    <w:p w14:paraId="6C9A881C" w14:textId="77777777" w:rsidR="00B87F02" w:rsidRDefault="00B87F02">
      <w:pPr>
        <w:spacing w:before="100" w:after="100"/>
        <w:rPr>
          <w:rFonts w:eastAsia="Times New Roman"/>
          <w:b/>
          <w:bCs/>
          <w:sz w:val="22"/>
          <w:lang w:eastAsia="en-GB"/>
        </w:rPr>
      </w:pPr>
    </w:p>
    <w:p w14:paraId="319A2249" w14:textId="77777777" w:rsidR="00B87F02" w:rsidRDefault="00B87F02">
      <w:pPr>
        <w:spacing w:before="100" w:after="100"/>
        <w:rPr>
          <w:rFonts w:eastAsia="Times New Roman"/>
          <w:b/>
          <w:bCs/>
          <w:sz w:val="22"/>
          <w:lang w:eastAsia="en-GB"/>
        </w:rPr>
        <w:sectPr w:rsidR="00B87F02" w:rsidSect="002048A0">
          <w:headerReference w:type="default" r:id="rId8"/>
          <w:footerReference w:type="default" r:id="rId9"/>
          <w:footerReference w:type="first" r:id="rId10"/>
          <w:pgSz w:w="12240" w:h="15840"/>
          <w:pgMar w:top="1134" w:right="1134" w:bottom="1134" w:left="1134" w:header="720" w:footer="720" w:gutter="0"/>
          <w:cols w:space="720"/>
          <w:titlePg/>
          <w:docGrid w:linePitch="286"/>
        </w:sectPr>
      </w:pPr>
    </w:p>
    <w:p w14:paraId="4DC031DF" w14:textId="77777777" w:rsidR="00B87F02" w:rsidRDefault="00B87F02" w:rsidP="00434B47">
      <w:pPr>
        <w:pStyle w:val="Heading2"/>
      </w:pPr>
      <w:r>
        <w:rPr>
          <w:rFonts w:eastAsia="Times New Roman"/>
          <w:lang w:eastAsia="en-GB"/>
        </w:rPr>
        <w:lastRenderedPageBreak/>
        <w:t>Part 1: Introduction</w:t>
      </w:r>
    </w:p>
    <w:p w14:paraId="58052B6B" w14:textId="1AD30F0B" w:rsidR="00B87F02" w:rsidRDefault="00B87F02" w:rsidP="00257337">
      <w:pPr>
        <w:pStyle w:val="ListParagraph"/>
        <w:numPr>
          <w:ilvl w:val="1"/>
          <w:numId w:val="1"/>
        </w:numPr>
        <w:spacing w:before="100" w:after="100"/>
        <w:ind w:left="454" w:hanging="454"/>
      </w:pPr>
      <w:r>
        <w:rPr>
          <w:rFonts w:eastAsia="Times New Roman"/>
          <w:b/>
          <w:bCs/>
          <w:lang w:eastAsia="en-GB"/>
        </w:rPr>
        <w:t>How your CoP supports the principles of Robustness, Transparency, Equity and</w:t>
      </w:r>
      <w:r w:rsidR="00257337">
        <w:rPr>
          <w:rFonts w:eastAsia="Times New Roman"/>
          <w:b/>
          <w:bCs/>
          <w:lang w:eastAsia="en-GB"/>
        </w:rPr>
        <w:t xml:space="preserve"> </w:t>
      </w:r>
      <w:r w:rsidRPr="00257337">
        <w:rPr>
          <w:rFonts w:eastAsia="Times New Roman"/>
          <w:b/>
          <w:bCs/>
          <w:lang w:eastAsia="en-GB"/>
        </w:rPr>
        <w:t>Inclusion</w:t>
      </w:r>
      <w:r w:rsidRPr="00257337">
        <w:rPr>
          <w:rFonts w:eastAsia="Times New Roman"/>
          <w:b/>
          <w:bCs/>
          <w:color w:val="002060"/>
          <w:lang w:eastAsia="en-GB"/>
        </w:rPr>
        <w:t>:</w:t>
      </w:r>
    </w:p>
    <w:p w14:paraId="595F8C59" w14:textId="77777777" w:rsidR="00B87F02" w:rsidRPr="00257337" w:rsidRDefault="00B87F02">
      <w:pPr>
        <w:pStyle w:val="ListParagraph"/>
        <w:numPr>
          <w:ilvl w:val="0"/>
          <w:numId w:val="24"/>
        </w:numPr>
        <w:ind w:hanging="720"/>
        <w:rPr>
          <w:b/>
          <w:bCs/>
        </w:rPr>
      </w:pPr>
      <w:r w:rsidRPr="00257337">
        <w:rPr>
          <w:b/>
          <w:bCs/>
        </w:rPr>
        <w:t>Robustness</w:t>
      </w:r>
    </w:p>
    <w:p w14:paraId="4198226D" w14:textId="77777777" w:rsidR="00B87F02" w:rsidRDefault="00B87F02">
      <w:pPr>
        <w:spacing w:after="120"/>
        <w:ind w:left="741"/>
      </w:pPr>
      <w:r>
        <w:rPr>
          <w:rFonts w:eastAsia="Times New Roman"/>
          <w:color w:val="002060"/>
          <w:sz w:val="22"/>
          <w:lang w:eastAsia="en-GB"/>
        </w:rPr>
        <w:t>Explain how the policies and processes set out in the CoP ensure that contracts identified as contributing to the volume measure reliably reflect the responsibilities of staff. new</w:t>
      </w:r>
    </w:p>
    <w:p w14:paraId="046D7F40" w14:textId="77777777" w:rsidR="00B87F02" w:rsidRPr="007756D3" w:rsidRDefault="00B87F02">
      <w:pPr>
        <w:pStyle w:val="ListParagraph"/>
        <w:numPr>
          <w:ilvl w:val="0"/>
          <w:numId w:val="29"/>
        </w:numPr>
        <w:ind w:hanging="720"/>
      </w:pPr>
      <w:r w:rsidRPr="007756D3">
        <w:t xml:space="preserve">This is the Birkbeck, University of London, REF 2029 Code of Practice which is required by Research England to enable the College to submit to the 2029 Research Excellence Framework exercise. It will outline the principles and legislative context that the College will use when compiling its submission. In addition, it will outline the process followed by the College to establish researcher independence for those researchers on an eligible contract type where this is appropriate and the appeals process for individuals who wish to challenge this decision. It will also outline how contracts are allocated to </w:t>
      </w:r>
      <w:proofErr w:type="spellStart"/>
      <w:r w:rsidRPr="007756D3">
        <w:t>UoAs</w:t>
      </w:r>
      <w:proofErr w:type="spellEnd"/>
      <w:r w:rsidRPr="007756D3">
        <w:t xml:space="preserve">, the output selection process, and the individuals and groups involved in all these processes. Finally, it will identify the arrangements made by the College to ensure, as far as possible, that the process is transparent, consistent and inclusive, including the arrangements made by the College in respect of training and equality impact assessment. </w:t>
      </w:r>
    </w:p>
    <w:p w14:paraId="77B770F2" w14:textId="77777777" w:rsidR="00B87F02" w:rsidRDefault="00B87F02">
      <w:pPr>
        <w:pStyle w:val="ListParagraph"/>
        <w:numPr>
          <w:ilvl w:val="0"/>
          <w:numId w:val="30"/>
        </w:numPr>
        <w:ind w:hanging="720"/>
      </w:pPr>
      <w:r w:rsidRPr="00257337">
        <w:t xml:space="preserve">As in REF 2021, at Birkbeck all 'teaching and research' colleagues are coded as ACEMPFUN 3 contracts in the HESA staff record, and this already comprehensively identifies all staff in this group with significant responsibility for research. The policies and processes set out in this CoP shows how we will identify other contract types which contribute to the volume measure, such as those holding research only contract types but who demonstrate research independence. Please see sections 3 and 4 for further details. </w:t>
      </w:r>
    </w:p>
    <w:p w14:paraId="5374E4AE" w14:textId="77777777" w:rsidR="00B87F02" w:rsidRDefault="00B87F02">
      <w:pPr>
        <w:pStyle w:val="ListParagraph"/>
        <w:numPr>
          <w:ilvl w:val="0"/>
          <w:numId w:val="25"/>
        </w:numPr>
        <w:ind w:hanging="720"/>
      </w:pPr>
      <w:r w:rsidRPr="00257337">
        <w:t xml:space="preserve">Birkbeck has a small number of academic colleagues who are returned to HESA as ACEMPFUN 1. These colleagues have a larger time allocation in their workload model for teaching and are not required to undertake research, although there is a 17% allocation in their time allocation which can be used for research if they wish to do so. It was always intended that the boundary between ACEMPFUN 3 and ACEMPFUN 1 would be porous, allowing colleagues to change their activities in line with their interests and priorities. As such, whilst there is no expectation for these colleagues to undertake research in their reduced time allocation, a small number choose to do so, potentially as a precursor to requesting a change in HESA classification. Where these colleagues have produced sole-authored outputs which are deemed to meet the standards we have set to be included in our return, we will seek clearance from the REF Director to include these outputs in our return, following the Research England guidance. We will also follow the Research England guidance and process where other colleagues (e.g. emeritus, visiting) have produced sole-authored outputs which are deemed to meet the standards we have set to be included in our return. </w:t>
      </w:r>
    </w:p>
    <w:p w14:paraId="4675CF49" w14:textId="77777777" w:rsidR="00B87F02" w:rsidRDefault="00B87F02">
      <w:pPr>
        <w:pStyle w:val="ListParagraph"/>
        <w:numPr>
          <w:ilvl w:val="0"/>
          <w:numId w:val="26"/>
        </w:numPr>
        <w:ind w:hanging="720"/>
      </w:pPr>
      <w:r w:rsidRPr="00257337">
        <w:t xml:space="preserve">In addition, we have a small number of research-enabling staff for whom, whilst we also have no expectation that these colleagues will undertake (as opposed to </w:t>
      </w:r>
      <w:proofErr w:type="gramStart"/>
      <w:r w:rsidRPr="00257337">
        <w:t>enable</w:t>
      </w:r>
      <w:proofErr w:type="gramEnd"/>
      <w:r w:rsidRPr="00257337">
        <w:t xml:space="preserve">) research, a small number choose to do so. These valued colleagues make an active contribution to our research environment and culture and, where they have a sole-authored output or outputs which is/are deemed to meet the standards we have set to be included in our return, we will follow the guidance and process from Research England to select and incorporate these outputs. </w:t>
      </w:r>
    </w:p>
    <w:p w14:paraId="309E08D3" w14:textId="77777777" w:rsidR="00B87F02" w:rsidRPr="00257337" w:rsidRDefault="00B87F02">
      <w:pPr>
        <w:pStyle w:val="ListParagraph"/>
        <w:numPr>
          <w:ilvl w:val="0"/>
          <w:numId w:val="28"/>
        </w:numPr>
        <w:ind w:hanging="720"/>
      </w:pPr>
      <w:r w:rsidRPr="00257337">
        <w:t xml:space="preserve">This Code of Practice applies for all units of assessment submitted by the College as a single institution. Where the College submits to any unit of assessment jointly with University College London (UCL), if there are any substantive differences in process identified, the UCL selection </w:t>
      </w:r>
      <w:r w:rsidRPr="00257337">
        <w:lastRenderedPageBreak/>
        <w:t>criteria and processes will apply including those processes for determining research independence and appeals against the outcome of that process.</w:t>
      </w:r>
    </w:p>
    <w:p w14:paraId="39C5504F" w14:textId="77777777" w:rsidR="00B87F02" w:rsidRDefault="00B87F02">
      <w:pPr>
        <w:pStyle w:val="ListParagraph"/>
        <w:numPr>
          <w:ilvl w:val="0"/>
          <w:numId w:val="27"/>
        </w:numPr>
        <w:ind w:hanging="720"/>
      </w:pPr>
      <w:r w:rsidRPr="00257337">
        <w:t>The Code of Practice was adopted by the Governors on 26th March 2026. It was approved by Academic Board on 12th March 2026, and staff unions were formally invited to comment on the code on 9th December 2025. This followed a period of informal consultation which ran between 27th October and 14th November 2025 which included sending the code to all eligible staff with an invitation to comment and two staff Q&amp;A sessions which were open to all staff.</w:t>
      </w:r>
    </w:p>
    <w:p w14:paraId="61A6AF61" w14:textId="77777777" w:rsidR="00B87F02" w:rsidRPr="00A65919" w:rsidRDefault="00B87F02">
      <w:pPr>
        <w:pStyle w:val="ListParagraph"/>
        <w:numPr>
          <w:ilvl w:val="0"/>
          <w:numId w:val="31"/>
        </w:numPr>
        <w:ind w:hanging="720"/>
        <w:rPr>
          <w:b/>
          <w:bCs/>
        </w:rPr>
      </w:pPr>
      <w:r w:rsidRPr="00A65919">
        <w:rPr>
          <w:b/>
          <w:bCs/>
        </w:rPr>
        <w:t xml:space="preserve">Transparency: </w:t>
      </w:r>
    </w:p>
    <w:p w14:paraId="52A2FD6B" w14:textId="77777777" w:rsidR="00B87F02" w:rsidRPr="004B7635" w:rsidRDefault="00B87F02" w:rsidP="000601A5">
      <w:pPr>
        <w:ind w:left="743"/>
        <w:rPr>
          <w:color w:val="002060"/>
        </w:rPr>
      </w:pPr>
      <w:proofErr w:type="gramStart"/>
      <w:r w:rsidRPr="004B7635">
        <w:rPr>
          <w:color w:val="002060"/>
        </w:rPr>
        <w:t>Detail</w:t>
      </w:r>
      <w:proofErr w:type="gramEnd"/>
      <w:r w:rsidRPr="004B7635">
        <w:rPr>
          <w:color w:val="002060"/>
        </w:rPr>
        <w:t xml:space="preserve"> how the CoP is communicated to all staff, including those on leave of absence or based outside the UK. Ensure accessibility by providing information in various formats and through appropriate channels. Highlight any additional resources (FAQs, web pages) to support staff understanding. An up-to-date version of the CoP should be published and available externally.</w:t>
      </w:r>
    </w:p>
    <w:p w14:paraId="51E0E243" w14:textId="33B606F4" w:rsidR="00B87F02" w:rsidRDefault="00B87F02">
      <w:pPr>
        <w:pStyle w:val="ListParagraph"/>
        <w:numPr>
          <w:ilvl w:val="0"/>
          <w:numId w:val="32"/>
        </w:numPr>
        <w:ind w:hanging="720"/>
      </w:pPr>
      <w:r w:rsidRPr="00257337">
        <w:t xml:space="preserve">The policy in respect of researcher independence, allocating FTE volume to </w:t>
      </w:r>
      <w:proofErr w:type="spellStart"/>
      <w:r w:rsidRPr="00257337">
        <w:t>UoAs</w:t>
      </w:r>
      <w:proofErr w:type="spellEnd"/>
      <w:r w:rsidRPr="00257337">
        <w:t xml:space="preserve"> and output selection will be consistent across the institution, and the Code of Practice will be implemented uniformly. The Code of Practice will set out the principles to be applied to all aspects/stages of the process at all levels within the institution where decisions will be made. There has been a programme of communication activity to disseminate the Code of Practice (see paragraph 1.1.1.6) and to explain the processes relating to the selection of outputs for submission and a formal consultation process. The Code of Practice will also be published on the College external website once it has been approved by Research England.</w:t>
      </w:r>
      <w:r w:rsidR="00267A4E">
        <w:t xml:space="preserve"> </w:t>
      </w:r>
    </w:p>
    <w:p w14:paraId="3B550FDD" w14:textId="77777777" w:rsidR="00B87F02" w:rsidRDefault="00B87F02">
      <w:pPr>
        <w:pStyle w:val="ListParagraph"/>
        <w:numPr>
          <w:ilvl w:val="0"/>
          <w:numId w:val="33"/>
        </w:numPr>
        <w:ind w:hanging="720"/>
      </w:pPr>
      <w:r w:rsidRPr="00257337">
        <w:t xml:space="preserve">The Code of Practice has been sent to all T&amp;R and R-Only staff via their bbk.ac.uk email </w:t>
      </w:r>
      <w:proofErr w:type="gramStart"/>
      <w:r w:rsidRPr="00257337">
        <w:t>address, and</w:t>
      </w:r>
      <w:proofErr w:type="gramEnd"/>
      <w:r w:rsidRPr="00257337">
        <w:t xml:space="preserve"> has been sent in hard copy by Royal Mail to the same staff groups where those individuals are registered as being on an extended (&gt;4 week) leave of absence (unless this absence is e.g. research leave or a secondment, where staff are expected to check their bbk.ac.uk email address). HR can make versions of this document available in other accessible formats upon request – please email one of the HR Project and Policy Leads if you require this document in an accessible format and include the information about what format you require. </w:t>
      </w:r>
    </w:p>
    <w:p w14:paraId="494E5DDD" w14:textId="77777777" w:rsidR="00B87F02" w:rsidRDefault="00B87F02">
      <w:pPr>
        <w:pStyle w:val="ListParagraph"/>
        <w:numPr>
          <w:ilvl w:val="0"/>
          <w:numId w:val="34"/>
        </w:numPr>
        <w:ind w:hanging="720"/>
      </w:pPr>
      <w:r w:rsidRPr="00257337">
        <w:t xml:space="preserve">Two briefing events and drop-in sessions (29th October 2025 and 6th November 2025 - online) were arranged and advertised to all staff through their bbk.ac.uk email address to explain the Code of Practice. </w:t>
      </w:r>
    </w:p>
    <w:p w14:paraId="5E73B330" w14:textId="48B45205" w:rsidR="00B87F02" w:rsidRDefault="00B87F02">
      <w:pPr>
        <w:pStyle w:val="ListParagraph"/>
        <w:numPr>
          <w:ilvl w:val="0"/>
          <w:numId w:val="35"/>
        </w:numPr>
        <w:ind w:hanging="720"/>
      </w:pPr>
      <w:r w:rsidRPr="00257337">
        <w:t xml:space="preserve">The Code of Practice has been made available via the staff intranet at </w:t>
      </w:r>
      <w:hyperlink r:id="rId11" w:tooltip="Information on Research Excellence Framework on the Birkbeck, University of London Research Office SharePoint website." w:history="1">
        <w:r w:rsidRPr="00590B59">
          <w:rPr>
            <w:noProof/>
            <w:color w:val="0563C1"/>
            <w:u w:val="single"/>
          </w:rPr>
          <w:drawing>
            <wp:inline distT="0" distB="0" distL="0" distR="0" wp14:anchorId="2DB14678" wp14:editId="04E9393F">
              <wp:extent cx="152400" cy="152400"/>
              <wp:effectExtent l="0" t="0" r="0" b="0"/>
              <wp:docPr id="1559196953" name="Picture 2" descr="​asp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px 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90B59">
          <w:rPr>
            <w:color w:val="0563C1"/>
            <w:u w:val="single"/>
          </w:rPr>
          <w:t> Research-Excellence-Framework.aspx</w:t>
        </w:r>
      </w:hyperlink>
      <w:r w:rsidRPr="00257337">
        <w:t xml:space="preserve"> (only accessible with a College log-in), and following approval from Research England the Code of Practice will be re-circulated to all staff on R only and T&amp;R contract types via their bbk.ac.uk email address, and</w:t>
      </w:r>
      <w:r w:rsidR="00267A4E">
        <w:t xml:space="preserve"> </w:t>
      </w:r>
      <w:r w:rsidRPr="00257337">
        <w:t xml:space="preserve">a version of the Code of Practice (with personal data redacted) will be placed on the College website </w:t>
      </w:r>
      <w:hyperlink r:id="rId13" w:tooltip="Information on Our Research on the Birkbeck, University of London website." w:history="1">
        <w:r w:rsidRPr="00590B59">
          <w:rPr>
            <w:color w:val="0563C1"/>
            <w:u w:val="single"/>
          </w:rPr>
          <w:t>http://www.bbk.ac.uk/research/</w:t>
        </w:r>
      </w:hyperlink>
      <w:r w:rsidRPr="00257337">
        <w:t xml:space="preserve">. </w:t>
      </w:r>
    </w:p>
    <w:p w14:paraId="17AE125B" w14:textId="77777777" w:rsidR="00B87F02" w:rsidRDefault="00B87F02">
      <w:pPr>
        <w:pStyle w:val="ListParagraph"/>
        <w:numPr>
          <w:ilvl w:val="0"/>
          <w:numId w:val="36"/>
        </w:numPr>
        <w:ind w:hanging="720"/>
      </w:pPr>
      <w:r w:rsidRPr="00257337">
        <w:t xml:space="preserve">If any members of staff have any questions about the REF </w:t>
      </w:r>
      <w:proofErr w:type="gramStart"/>
      <w:r w:rsidRPr="00257337">
        <w:t>process</w:t>
      </w:r>
      <w:proofErr w:type="gramEnd"/>
      <w:r w:rsidRPr="00257337">
        <w:t xml:space="preserve"> they should contact their REF/Discipline lead (see appendix 2.1) or the Colleges REF manager in the first instance. </w:t>
      </w:r>
    </w:p>
    <w:p w14:paraId="0C02DF57" w14:textId="77777777" w:rsidR="00B87F02" w:rsidRDefault="00B87F02">
      <w:pPr>
        <w:pStyle w:val="ListParagraph"/>
        <w:numPr>
          <w:ilvl w:val="0"/>
          <w:numId w:val="37"/>
        </w:numPr>
        <w:ind w:hanging="720"/>
      </w:pPr>
      <w:r w:rsidRPr="00257337">
        <w:t xml:space="preserve">If any member of staff is concerned that the REF is not being run in accordance with this Code of Practice in their area, they should contact the DVC (Research and Innovation) and/or their Head of School in the first instance. </w:t>
      </w:r>
    </w:p>
    <w:p w14:paraId="653EBB82" w14:textId="77777777" w:rsidR="00B87F02" w:rsidRPr="007D631A" w:rsidRDefault="00B87F02">
      <w:pPr>
        <w:pStyle w:val="ListParagraph"/>
        <w:numPr>
          <w:ilvl w:val="0"/>
          <w:numId w:val="38"/>
        </w:numPr>
        <w:ind w:hanging="720"/>
        <w:rPr>
          <w:b/>
          <w:bCs/>
        </w:rPr>
      </w:pPr>
      <w:r w:rsidRPr="007D631A">
        <w:rPr>
          <w:b/>
          <w:bCs/>
        </w:rPr>
        <w:t>Inclusivity</w:t>
      </w:r>
    </w:p>
    <w:p w14:paraId="32AC5F31" w14:textId="77777777" w:rsidR="00B87F02" w:rsidRDefault="00B87F02" w:rsidP="007D631A">
      <w:pPr>
        <w:spacing w:after="120"/>
        <w:ind w:left="601"/>
      </w:pPr>
      <w:r>
        <w:rPr>
          <w:rFonts w:eastAsia="Times New Roman"/>
          <w:color w:val="002060"/>
          <w:sz w:val="22"/>
          <w:lang w:eastAsia="en-GB"/>
        </w:rPr>
        <w:lastRenderedPageBreak/>
        <w:t>Explain how decisions about submissions are fair and impartial supporting a diversity of people and research, where diverse contributions are valued and supported</w:t>
      </w:r>
      <w:r>
        <w:rPr>
          <w:rFonts w:eastAsia="Times New Roman"/>
          <w:b/>
          <w:bCs/>
          <w:color w:val="002060"/>
          <w:sz w:val="22"/>
          <w:lang w:eastAsia="en-GB"/>
        </w:rPr>
        <w:t xml:space="preserve">. </w:t>
      </w:r>
    </w:p>
    <w:p w14:paraId="5A9747A4" w14:textId="77777777" w:rsidR="00B87F02" w:rsidRDefault="00B87F02">
      <w:pPr>
        <w:pStyle w:val="ListParagraph"/>
        <w:numPr>
          <w:ilvl w:val="0"/>
          <w:numId w:val="39"/>
        </w:numPr>
        <w:spacing w:after="120"/>
        <w:ind w:hanging="720"/>
      </w:pPr>
      <w:r>
        <w:t xml:space="preserve">In this Code of Practice, responsibilities will be clearly defined, and individuals and bodies that are involved in selecting REF submissions will be identified by role and the name of the current incumbent (redacted in the public version). The Code will also set out will also set out what training those who are involved in any aspect of REF selection will have received at the point where the </w:t>
      </w:r>
      <w:proofErr w:type="gramStart"/>
      <w:r>
        <w:t>given selection exercise</w:t>
      </w:r>
      <w:proofErr w:type="gramEnd"/>
      <w:r>
        <w:t xml:space="preserve"> begins. </w:t>
      </w:r>
    </w:p>
    <w:p w14:paraId="78A44155" w14:textId="77777777" w:rsidR="00B87F02" w:rsidRDefault="00B87F02">
      <w:pPr>
        <w:pStyle w:val="ListParagraph"/>
        <w:numPr>
          <w:ilvl w:val="0"/>
          <w:numId w:val="40"/>
        </w:numPr>
        <w:spacing w:after="120"/>
        <w:ind w:hanging="720"/>
      </w:pPr>
      <w:r>
        <w:t xml:space="preserve">This section of the Code will define </w:t>
      </w:r>
      <w:r>
        <w:rPr>
          <w:rFonts w:eastAsia="Times New Roman"/>
          <w:lang w:eastAsia="en-GB"/>
        </w:rPr>
        <w:t xml:space="preserve">Roles and Responsibilities of individuals and committees involved in making decisions about the REF 2029 return, distinguishing between advisory and decision-making roles. It will </w:t>
      </w:r>
      <w:r>
        <w:t xml:space="preserve">set out the operating criteria and terms of reference for individuals, committees, advisory groups and any other bodies concerned with determining research independence, contract allocation to </w:t>
      </w:r>
      <w:proofErr w:type="spellStart"/>
      <w:r>
        <w:t>UoAs</w:t>
      </w:r>
      <w:proofErr w:type="spellEnd"/>
      <w:r>
        <w:t xml:space="preserve"> and output selection. It will make detailed information (such as Terms of Reference, membership etc.) readily available to all individuals and groups concerned with the REF 2029 exercise (see appendices 1-8, please note personal data will be redacted from the public version of the Code).</w:t>
      </w:r>
    </w:p>
    <w:p w14:paraId="506B4327" w14:textId="135ABA43" w:rsidR="00B87F02" w:rsidRDefault="00B87F02">
      <w:pPr>
        <w:pStyle w:val="ListParagraph"/>
        <w:numPr>
          <w:ilvl w:val="0"/>
          <w:numId w:val="41"/>
        </w:numPr>
        <w:spacing w:after="120"/>
        <w:ind w:hanging="720"/>
      </w:pPr>
      <w:r>
        <w:t xml:space="preserve">This Code of Practice needs to be read in its entirety to fully understand how we will ensure </w:t>
      </w:r>
      <w:r>
        <w:rPr>
          <w:rFonts w:eastAsia="Times New Roman"/>
          <w:lang w:eastAsia="en-GB"/>
        </w:rPr>
        <w:t xml:space="preserve">submissions are fair and impartial, and for how we will support a diversity of people and research, and both recognise and value diverse research contributions. </w:t>
      </w:r>
    </w:p>
    <w:p w14:paraId="3DFC10F3" w14:textId="77777777" w:rsidR="00B87F02" w:rsidRDefault="00B87F02">
      <w:pPr>
        <w:pStyle w:val="ListParagraph"/>
        <w:numPr>
          <w:ilvl w:val="0"/>
          <w:numId w:val="42"/>
        </w:numPr>
        <w:spacing w:after="120"/>
        <w:ind w:hanging="720"/>
      </w:pPr>
      <w:r>
        <w:t xml:space="preserve">The REF 2029 Working Party (REF WP) is a working group of the College Research Committee which provides advice on the adoption of </w:t>
      </w:r>
      <w:proofErr w:type="gramStart"/>
      <w:r>
        <w:t>College</w:t>
      </w:r>
      <w:proofErr w:type="gramEnd"/>
      <w:r>
        <w:t xml:space="preserve"> strategies to support research, with specific reference to REF 2029. </w:t>
      </w:r>
    </w:p>
    <w:p w14:paraId="7F03F1DA" w14:textId="77777777" w:rsidR="00B87F02" w:rsidRPr="005B3173" w:rsidRDefault="00B87F02">
      <w:pPr>
        <w:pStyle w:val="ListParagraph"/>
        <w:numPr>
          <w:ilvl w:val="0"/>
          <w:numId w:val="43"/>
        </w:numPr>
        <w:spacing w:after="120"/>
        <w:ind w:hanging="720"/>
      </w:pPr>
      <w:r w:rsidRPr="005B3173">
        <w:t xml:space="preserve">The Working Party’s terms of reference provide for it to: </w:t>
      </w:r>
    </w:p>
    <w:p w14:paraId="3290A498" w14:textId="77777777" w:rsidR="00B87F02" w:rsidRDefault="00B87F02">
      <w:pPr>
        <w:pStyle w:val="ListParagraph"/>
        <w:numPr>
          <w:ilvl w:val="0"/>
          <w:numId w:val="3"/>
        </w:numPr>
        <w:shd w:val="clear" w:color="auto" w:fill="FFFFFF"/>
        <w:suppressAutoHyphens w:val="0"/>
        <w:spacing w:after="0"/>
        <w:ind w:left="1450" w:hanging="426"/>
        <w:textAlignment w:val="auto"/>
        <w:rPr>
          <w:lang w:eastAsia="en-GB"/>
        </w:rPr>
      </w:pPr>
      <w:r>
        <w:rPr>
          <w:lang w:eastAsia="en-GB"/>
        </w:rPr>
        <w:t xml:space="preserve">Advise the Research Committee and the VC on the adoption of </w:t>
      </w:r>
      <w:proofErr w:type="gramStart"/>
      <w:r>
        <w:rPr>
          <w:lang w:eastAsia="en-GB"/>
        </w:rPr>
        <w:t>College</w:t>
      </w:r>
      <w:proofErr w:type="gramEnd"/>
      <w:r>
        <w:rPr>
          <w:lang w:eastAsia="en-GB"/>
        </w:rPr>
        <w:t xml:space="preserve"> strategies to support the REF 2029 submission.</w:t>
      </w:r>
    </w:p>
    <w:p w14:paraId="720737AD" w14:textId="77777777" w:rsidR="00B87F02" w:rsidRDefault="00B87F02">
      <w:pPr>
        <w:pStyle w:val="ListParagraph"/>
        <w:numPr>
          <w:ilvl w:val="0"/>
          <w:numId w:val="3"/>
        </w:numPr>
        <w:shd w:val="clear" w:color="auto" w:fill="FFFFFF"/>
        <w:suppressAutoHyphens w:val="0"/>
        <w:spacing w:after="0"/>
        <w:ind w:left="1450" w:hanging="426"/>
        <w:textAlignment w:val="auto"/>
        <w:rPr>
          <w:lang w:eastAsia="en-GB"/>
        </w:rPr>
      </w:pPr>
      <w:r>
        <w:rPr>
          <w:lang w:eastAsia="en-GB"/>
        </w:rPr>
        <w:t xml:space="preserve">Ensure up-to-date and accurate knowledge of any developments pertaining to the </w:t>
      </w:r>
      <w:proofErr w:type="gramStart"/>
      <w:r>
        <w:rPr>
          <w:lang w:eastAsia="en-GB"/>
        </w:rPr>
        <w:t>REF, and</w:t>
      </w:r>
      <w:proofErr w:type="gramEnd"/>
      <w:r>
        <w:rPr>
          <w:lang w:eastAsia="en-GB"/>
        </w:rPr>
        <w:t xml:space="preserve"> disseminate these throughout the College.</w:t>
      </w:r>
    </w:p>
    <w:p w14:paraId="19EFED99" w14:textId="77777777" w:rsidR="00B87F02" w:rsidRDefault="00B87F02">
      <w:pPr>
        <w:pStyle w:val="ListParagraph"/>
        <w:numPr>
          <w:ilvl w:val="0"/>
          <w:numId w:val="3"/>
        </w:numPr>
        <w:shd w:val="clear" w:color="auto" w:fill="FFFFFF"/>
        <w:suppressAutoHyphens w:val="0"/>
        <w:spacing w:after="0"/>
        <w:ind w:left="1450" w:hanging="426"/>
        <w:textAlignment w:val="auto"/>
        <w:rPr>
          <w:lang w:eastAsia="en-GB"/>
        </w:rPr>
      </w:pPr>
      <w:r>
        <w:rPr>
          <w:lang w:eastAsia="en-GB"/>
        </w:rPr>
        <w:t xml:space="preserve">Make initial decisions on the structure of the College’s submission, especially in relation to decisions about selection of </w:t>
      </w:r>
      <w:proofErr w:type="spellStart"/>
      <w:r>
        <w:rPr>
          <w:lang w:eastAsia="en-GB"/>
        </w:rPr>
        <w:t>UoAs</w:t>
      </w:r>
      <w:proofErr w:type="spellEnd"/>
      <w:r>
        <w:rPr>
          <w:lang w:eastAsia="en-GB"/>
        </w:rPr>
        <w:t xml:space="preserve"> and the output pool to return.</w:t>
      </w:r>
    </w:p>
    <w:p w14:paraId="247AC2E7" w14:textId="77777777" w:rsidR="00B87F02" w:rsidRDefault="00B87F02">
      <w:pPr>
        <w:pStyle w:val="ListParagraph"/>
        <w:numPr>
          <w:ilvl w:val="0"/>
          <w:numId w:val="3"/>
        </w:numPr>
        <w:shd w:val="clear" w:color="auto" w:fill="FFFFFF"/>
        <w:suppressAutoHyphens w:val="0"/>
        <w:spacing w:after="0"/>
        <w:ind w:left="1450" w:hanging="426"/>
        <w:textAlignment w:val="auto"/>
        <w:rPr>
          <w:lang w:eastAsia="en-GB"/>
        </w:rPr>
      </w:pPr>
      <w:r>
        <w:rPr>
          <w:lang w:eastAsia="en-GB"/>
        </w:rPr>
        <w:t xml:space="preserve">Maintain oversight of preparations for the REF by all </w:t>
      </w:r>
      <w:proofErr w:type="spellStart"/>
      <w:r>
        <w:rPr>
          <w:lang w:eastAsia="en-GB"/>
        </w:rPr>
        <w:t>UoAs</w:t>
      </w:r>
      <w:proofErr w:type="spellEnd"/>
      <w:r>
        <w:rPr>
          <w:lang w:eastAsia="en-GB"/>
        </w:rPr>
        <w:t>.</w:t>
      </w:r>
    </w:p>
    <w:p w14:paraId="1493D3DD" w14:textId="77777777" w:rsidR="00B87F02" w:rsidRDefault="00B87F02">
      <w:pPr>
        <w:pStyle w:val="ListParagraph"/>
        <w:numPr>
          <w:ilvl w:val="0"/>
          <w:numId w:val="3"/>
        </w:numPr>
        <w:shd w:val="clear" w:color="auto" w:fill="FFFFFF"/>
        <w:suppressAutoHyphens w:val="0"/>
        <w:spacing w:after="0"/>
        <w:ind w:left="1450" w:hanging="426"/>
        <w:textAlignment w:val="auto"/>
        <w:rPr>
          <w:lang w:eastAsia="en-GB"/>
        </w:rPr>
      </w:pPr>
      <w:r>
        <w:rPr>
          <w:lang w:eastAsia="en-GB"/>
        </w:rPr>
        <w:t>Manage and guide REF and Discipline Leads throughout the course of their appointment.</w:t>
      </w:r>
    </w:p>
    <w:p w14:paraId="063384C1" w14:textId="77777777" w:rsidR="00B87F02" w:rsidRDefault="00B87F02">
      <w:pPr>
        <w:pStyle w:val="ListParagraph"/>
        <w:numPr>
          <w:ilvl w:val="0"/>
          <w:numId w:val="3"/>
        </w:numPr>
        <w:shd w:val="clear" w:color="auto" w:fill="FFFFFF"/>
        <w:suppressAutoHyphens w:val="0"/>
        <w:spacing w:after="0"/>
        <w:ind w:left="1450" w:hanging="426"/>
        <w:textAlignment w:val="auto"/>
        <w:rPr>
          <w:lang w:eastAsia="en-GB"/>
        </w:rPr>
      </w:pPr>
      <w:r>
        <w:rPr>
          <w:lang w:eastAsia="en-GB"/>
        </w:rPr>
        <w:t>Ensure that the full resources of the College are known and made available to them.</w:t>
      </w:r>
    </w:p>
    <w:p w14:paraId="01788DD3" w14:textId="77777777" w:rsidR="00B87F02" w:rsidRDefault="00B87F02">
      <w:pPr>
        <w:pStyle w:val="ListParagraph"/>
        <w:numPr>
          <w:ilvl w:val="0"/>
          <w:numId w:val="3"/>
        </w:numPr>
        <w:shd w:val="clear" w:color="auto" w:fill="FFFFFF"/>
        <w:suppressAutoHyphens w:val="0"/>
        <w:spacing w:after="0"/>
        <w:ind w:left="1450" w:hanging="426"/>
        <w:textAlignment w:val="auto"/>
        <w:rPr>
          <w:lang w:eastAsia="en-GB"/>
        </w:rPr>
      </w:pPr>
      <w:r>
        <w:rPr>
          <w:lang w:eastAsia="en-GB"/>
        </w:rPr>
        <w:t xml:space="preserve">Facilitate continuity of oversight for each </w:t>
      </w:r>
      <w:proofErr w:type="spellStart"/>
      <w:r>
        <w:rPr>
          <w:lang w:eastAsia="en-GB"/>
        </w:rPr>
        <w:t>UoA</w:t>
      </w:r>
      <w:proofErr w:type="spellEnd"/>
      <w:r>
        <w:rPr>
          <w:lang w:eastAsia="en-GB"/>
        </w:rPr>
        <w:t xml:space="preserve"> in the event of a Lead transition.</w:t>
      </w:r>
    </w:p>
    <w:p w14:paraId="08E5837D" w14:textId="77777777" w:rsidR="00B87F02" w:rsidRDefault="00B87F02">
      <w:pPr>
        <w:pStyle w:val="ListParagraph"/>
        <w:numPr>
          <w:ilvl w:val="0"/>
          <w:numId w:val="3"/>
        </w:numPr>
        <w:shd w:val="clear" w:color="auto" w:fill="FFFFFF"/>
        <w:suppressAutoHyphens w:val="0"/>
        <w:spacing w:after="0"/>
        <w:ind w:left="1450" w:hanging="426"/>
        <w:textAlignment w:val="auto"/>
        <w:rPr>
          <w:lang w:eastAsia="en-GB"/>
        </w:rPr>
      </w:pPr>
      <w:r>
        <w:rPr>
          <w:lang w:eastAsia="en-GB"/>
        </w:rPr>
        <w:t xml:space="preserve">Manage College-wide preparations for the REF such as ‘dry </w:t>
      </w:r>
      <w:proofErr w:type="gramStart"/>
      <w:r>
        <w:rPr>
          <w:lang w:eastAsia="en-GB"/>
        </w:rPr>
        <w:t>runs’</w:t>
      </w:r>
      <w:proofErr w:type="gramEnd"/>
      <w:r>
        <w:rPr>
          <w:lang w:eastAsia="en-GB"/>
        </w:rPr>
        <w:t>.</w:t>
      </w:r>
    </w:p>
    <w:p w14:paraId="67F20FDA" w14:textId="77777777" w:rsidR="00B87F02" w:rsidRDefault="00B87F02">
      <w:pPr>
        <w:pStyle w:val="ListParagraph"/>
        <w:numPr>
          <w:ilvl w:val="0"/>
          <w:numId w:val="3"/>
        </w:numPr>
        <w:shd w:val="clear" w:color="auto" w:fill="FFFFFF"/>
        <w:suppressAutoHyphens w:val="0"/>
        <w:spacing w:after="0"/>
        <w:ind w:left="1450" w:hanging="426"/>
        <w:textAlignment w:val="auto"/>
        <w:rPr>
          <w:lang w:eastAsia="en-GB"/>
        </w:rPr>
      </w:pPr>
      <w:r>
        <w:rPr>
          <w:lang w:eastAsia="en-GB"/>
        </w:rPr>
        <w:t>Support decision-making concerning inclusion of Impact cases.</w:t>
      </w:r>
    </w:p>
    <w:p w14:paraId="4C570170" w14:textId="77777777" w:rsidR="00B87F02" w:rsidRDefault="00B87F02">
      <w:pPr>
        <w:pStyle w:val="ListParagraph"/>
        <w:numPr>
          <w:ilvl w:val="0"/>
          <w:numId w:val="3"/>
        </w:numPr>
        <w:shd w:val="clear" w:color="auto" w:fill="FFFFFF"/>
        <w:suppressAutoHyphens w:val="0"/>
        <w:spacing w:after="0"/>
        <w:ind w:left="1450" w:hanging="426"/>
        <w:textAlignment w:val="auto"/>
        <w:rPr>
          <w:lang w:eastAsia="en-GB"/>
        </w:rPr>
      </w:pPr>
      <w:r>
        <w:rPr>
          <w:lang w:eastAsia="en-GB"/>
        </w:rPr>
        <w:t xml:space="preserve">Read, comment on and where necessary actively support the writing of all aspects of the final REF submission for every </w:t>
      </w:r>
      <w:proofErr w:type="spellStart"/>
      <w:r>
        <w:rPr>
          <w:lang w:eastAsia="en-GB"/>
        </w:rPr>
        <w:t>UoA</w:t>
      </w:r>
      <w:proofErr w:type="spellEnd"/>
      <w:r>
        <w:rPr>
          <w:lang w:eastAsia="en-GB"/>
        </w:rPr>
        <w:t>.</w:t>
      </w:r>
    </w:p>
    <w:p w14:paraId="40DF02C0" w14:textId="77777777" w:rsidR="00B87F02" w:rsidRDefault="00B87F02">
      <w:pPr>
        <w:pStyle w:val="ListParagraph"/>
        <w:numPr>
          <w:ilvl w:val="0"/>
          <w:numId w:val="3"/>
        </w:numPr>
        <w:shd w:val="clear" w:color="auto" w:fill="FFFFFF"/>
        <w:suppressAutoHyphens w:val="0"/>
        <w:spacing w:after="0"/>
        <w:ind w:left="1450" w:hanging="426"/>
        <w:textAlignment w:val="auto"/>
        <w:rPr>
          <w:lang w:eastAsia="en-GB"/>
        </w:rPr>
      </w:pPr>
      <w:r>
        <w:rPr>
          <w:lang w:eastAsia="en-GB"/>
        </w:rPr>
        <w:t>Advise about the administrative requirements for the REF.</w:t>
      </w:r>
    </w:p>
    <w:p w14:paraId="46794A27" w14:textId="77777777" w:rsidR="00B87F02" w:rsidRDefault="00B87F02">
      <w:pPr>
        <w:pStyle w:val="ListParagraph"/>
        <w:numPr>
          <w:ilvl w:val="0"/>
          <w:numId w:val="3"/>
        </w:numPr>
        <w:shd w:val="clear" w:color="auto" w:fill="FFFFFF"/>
        <w:suppressAutoHyphens w:val="0"/>
        <w:spacing w:after="0"/>
        <w:ind w:left="1450" w:hanging="426"/>
        <w:textAlignment w:val="auto"/>
        <w:rPr>
          <w:lang w:eastAsia="en-GB"/>
        </w:rPr>
      </w:pPr>
      <w:r>
        <w:rPr>
          <w:lang w:eastAsia="en-GB"/>
        </w:rPr>
        <w:t>Work with the REF support team and HR to ensure that equality and diversity requirements are fully complied with.</w:t>
      </w:r>
    </w:p>
    <w:p w14:paraId="361EA22B" w14:textId="77777777" w:rsidR="00B87F02" w:rsidRDefault="00B87F02">
      <w:pPr>
        <w:pStyle w:val="ListParagraph"/>
        <w:numPr>
          <w:ilvl w:val="0"/>
          <w:numId w:val="3"/>
        </w:numPr>
        <w:shd w:val="clear" w:color="auto" w:fill="FFFFFF"/>
        <w:suppressAutoHyphens w:val="0"/>
        <w:spacing w:after="0"/>
        <w:ind w:left="1450" w:hanging="426"/>
        <w:textAlignment w:val="auto"/>
        <w:rPr>
          <w:lang w:eastAsia="en-GB"/>
        </w:rPr>
      </w:pPr>
      <w:r>
        <w:rPr>
          <w:lang w:eastAsia="en-GB"/>
        </w:rPr>
        <w:t>Advise the University Executive and Governors of developments in relation to the REF.</w:t>
      </w:r>
    </w:p>
    <w:p w14:paraId="489669C7" w14:textId="77777777" w:rsidR="00B87F02" w:rsidRDefault="00B87F02">
      <w:pPr>
        <w:pStyle w:val="ListParagraph"/>
        <w:numPr>
          <w:ilvl w:val="3"/>
          <w:numId w:val="2"/>
        </w:numPr>
        <w:shd w:val="clear" w:color="auto" w:fill="FFFFFF"/>
        <w:suppressAutoHyphens w:val="0"/>
        <w:spacing w:before="120" w:after="240"/>
        <w:textAlignment w:val="auto"/>
      </w:pPr>
      <w:r>
        <w:t xml:space="preserve">The REF WP is chaired by the DVC (Research &amp; Innovation) and consists of academic members from all the Schools of the College, plus the Director of Research and the Impact and Knowledge Exchange Managers. </w:t>
      </w:r>
      <w:r>
        <w:rPr>
          <w:lang w:eastAsia="en-GB"/>
        </w:rPr>
        <w:t>The Roles of the members of the REF Working party are as follows:</w:t>
      </w:r>
    </w:p>
    <w:p w14:paraId="32D6F312" w14:textId="77777777" w:rsidR="00B87F02" w:rsidRDefault="00B87F02">
      <w:pPr>
        <w:pStyle w:val="ListParagraph"/>
        <w:numPr>
          <w:ilvl w:val="0"/>
          <w:numId w:val="4"/>
        </w:numPr>
        <w:shd w:val="clear" w:color="auto" w:fill="FFFFFF"/>
        <w:suppressAutoHyphens w:val="0"/>
        <w:spacing w:after="0"/>
        <w:ind w:left="1450" w:hanging="426"/>
        <w:contextualSpacing/>
        <w:textAlignment w:val="auto"/>
        <w:rPr>
          <w:lang w:eastAsia="en-GB"/>
        </w:rPr>
      </w:pPr>
      <w:r>
        <w:rPr>
          <w:lang w:eastAsia="en-GB"/>
        </w:rPr>
        <w:lastRenderedPageBreak/>
        <w:t>Deputy Vice Chancellor (Research &amp; Innovation) – strategic oversight of the REF for the institution</w:t>
      </w:r>
    </w:p>
    <w:p w14:paraId="7B37D82C" w14:textId="77777777" w:rsidR="00B87F02" w:rsidRDefault="00B87F02">
      <w:pPr>
        <w:pStyle w:val="ListParagraph"/>
        <w:numPr>
          <w:ilvl w:val="0"/>
          <w:numId w:val="4"/>
        </w:numPr>
        <w:shd w:val="clear" w:color="auto" w:fill="FFFFFF"/>
        <w:suppressAutoHyphens w:val="0"/>
        <w:spacing w:after="0"/>
        <w:ind w:left="1450" w:hanging="426"/>
        <w:contextualSpacing/>
        <w:textAlignment w:val="auto"/>
        <w:rPr>
          <w:lang w:eastAsia="en-GB"/>
        </w:rPr>
      </w:pPr>
      <w:r>
        <w:rPr>
          <w:lang w:eastAsia="en-GB"/>
        </w:rPr>
        <w:t>Director of Research - The Colleges REF Manager, responsible for the administrative and technical oversight of all aspects of the submission</w:t>
      </w:r>
    </w:p>
    <w:p w14:paraId="286CF9A3" w14:textId="77777777" w:rsidR="00B87F02" w:rsidRDefault="00B87F02">
      <w:pPr>
        <w:pStyle w:val="ListParagraph"/>
        <w:numPr>
          <w:ilvl w:val="0"/>
          <w:numId w:val="4"/>
        </w:numPr>
        <w:shd w:val="clear" w:color="auto" w:fill="FFFFFF"/>
        <w:suppressAutoHyphens w:val="0"/>
        <w:spacing w:after="0"/>
        <w:ind w:left="1450" w:hanging="426"/>
        <w:contextualSpacing/>
        <w:textAlignment w:val="auto"/>
        <w:rPr>
          <w:lang w:eastAsia="en-GB"/>
        </w:rPr>
      </w:pPr>
      <w:r>
        <w:rPr>
          <w:lang w:eastAsia="en-GB"/>
        </w:rPr>
        <w:t xml:space="preserve">Faculty Heads of Research, Innovation and Knowledge Exchange – strategic oversight of research, innovation and knowledge exchange at the </w:t>
      </w:r>
      <w:proofErr w:type="gramStart"/>
      <w:r>
        <w:rPr>
          <w:lang w:eastAsia="en-GB"/>
        </w:rPr>
        <w:t>Faculty</w:t>
      </w:r>
      <w:proofErr w:type="gramEnd"/>
      <w:r>
        <w:rPr>
          <w:lang w:eastAsia="en-GB"/>
        </w:rPr>
        <w:t xml:space="preserve"> level</w:t>
      </w:r>
    </w:p>
    <w:p w14:paraId="77B19A2F" w14:textId="77777777" w:rsidR="00B87F02" w:rsidRDefault="00B87F02">
      <w:pPr>
        <w:pStyle w:val="ListParagraph"/>
        <w:numPr>
          <w:ilvl w:val="0"/>
          <w:numId w:val="4"/>
        </w:numPr>
        <w:shd w:val="clear" w:color="auto" w:fill="FFFFFF"/>
        <w:suppressAutoHyphens w:val="0"/>
        <w:spacing w:after="0"/>
        <w:ind w:left="1450" w:hanging="426"/>
        <w:contextualSpacing/>
        <w:textAlignment w:val="auto"/>
        <w:rPr>
          <w:lang w:eastAsia="en-GB"/>
        </w:rPr>
      </w:pPr>
      <w:r>
        <w:rPr>
          <w:lang w:eastAsia="en-GB"/>
        </w:rPr>
        <w:t>Impact &amp; Knowledge Exchange Managers – strategic oversight of, and responsibility for, developing impact case studies</w:t>
      </w:r>
    </w:p>
    <w:p w14:paraId="7374F136" w14:textId="77777777" w:rsidR="00B87F02" w:rsidRDefault="00B87F02">
      <w:pPr>
        <w:pStyle w:val="ListParagraph"/>
        <w:numPr>
          <w:ilvl w:val="0"/>
          <w:numId w:val="4"/>
        </w:numPr>
        <w:shd w:val="clear" w:color="auto" w:fill="FFFFFF"/>
        <w:suppressAutoHyphens w:val="0"/>
        <w:spacing w:after="0"/>
        <w:ind w:left="1450" w:hanging="426"/>
        <w:contextualSpacing/>
        <w:textAlignment w:val="auto"/>
        <w:rPr>
          <w:lang w:eastAsia="en-GB"/>
        </w:rPr>
      </w:pPr>
      <w:r>
        <w:rPr>
          <w:lang w:eastAsia="en-GB"/>
        </w:rPr>
        <w:t xml:space="preserve">REF Leads / Discipline leads – responsible for developing the full REF submission for the Unit of Assessment and for supporting cross-school working where a Unit of Assessment comprises researchers from more than one School; Chairing the panels to review and select outputs and leading on drafting all narrative elements apart from impact case studies. </w:t>
      </w:r>
    </w:p>
    <w:p w14:paraId="5C62FC0A" w14:textId="77777777" w:rsidR="00B87F02" w:rsidRDefault="00B87F02" w:rsidP="00370EE5">
      <w:pPr>
        <w:shd w:val="clear" w:color="auto" w:fill="FFFFFF"/>
        <w:spacing w:before="240" w:after="240"/>
        <w:ind w:left="720"/>
      </w:pPr>
      <w:proofErr w:type="gramStart"/>
      <w:r>
        <w:rPr>
          <w:sz w:val="22"/>
        </w:rPr>
        <w:t>The full</w:t>
      </w:r>
      <w:proofErr w:type="gramEnd"/>
      <w:r>
        <w:rPr>
          <w:sz w:val="22"/>
        </w:rPr>
        <w:t xml:space="preserve"> membership of the Working Party is attached as Appendix 2.1. </w:t>
      </w:r>
    </w:p>
    <w:p w14:paraId="602A7EBD" w14:textId="04A1BD04" w:rsidR="00B87F02" w:rsidRDefault="00B87F02">
      <w:pPr>
        <w:pStyle w:val="ListParagraph"/>
        <w:numPr>
          <w:ilvl w:val="0"/>
          <w:numId w:val="44"/>
        </w:numPr>
        <w:shd w:val="clear" w:color="auto" w:fill="FFFFFF"/>
        <w:spacing w:after="0"/>
        <w:ind w:left="720" w:hanging="720"/>
      </w:pPr>
      <w:r>
        <w:t xml:space="preserve">The REF WP will review assessments of the quality of </w:t>
      </w:r>
      <w:proofErr w:type="gramStart"/>
      <w:r>
        <w:t>outputs</w:t>
      </w:r>
      <w:proofErr w:type="gramEnd"/>
      <w:r>
        <w:t xml:space="preserve"> and may </w:t>
      </w:r>
      <w:proofErr w:type="gramStart"/>
      <w:r>
        <w:t>refer</w:t>
      </w:r>
      <w:proofErr w:type="gramEnd"/>
      <w:r>
        <w:t xml:space="preserve"> submissions for independent and / or external advice. In reaching its decisions, </w:t>
      </w:r>
      <w:proofErr w:type="gramStart"/>
      <w:r>
        <w:t>the REF</w:t>
      </w:r>
      <w:proofErr w:type="gramEnd"/>
      <w:r>
        <w:t xml:space="preserve"> WP may request information about the output profile from the REF 2021 exercise and the associated internal reading exercises </w:t>
      </w:r>
      <w:proofErr w:type="gramStart"/>
      <w:r>
        <w:t>in order to</w:t>
      </w:r>
      <w:proofErr w:type="gramEnd"/>
      <w:r>
        <w:t xml:space="preserve"> benchmark the findings of the reading groups as contextual information. </w:t>
      </w:r>
    </w:p>
    <w:p w14:paraId="78E5DFD3" w14:textId="77777777" w:rsidR="00B87F02" w:rsidRDefault="00B87F02">
      <w:pPr>
        <w:pStyle w:val="ListParagraph"/>
        <w:numPr>
          <w:ilvl w:val="3"/>
          <w:numId w:val="45"/>
        </w:numPr>
        <w:shd w:val="clear" w:color="auto" w:fill="FFFFFF"/>
        <w:spacing w:before="240" w:after="0"/>
      </w:pPr>
      <w:r>
        <w:t xml:space="preserve">All recommendations relating to submission to the REF will be subject to endorsement by the VC, who may amend, overturn or </w:t>
      </w:r>
      <w:proofErr w:type="gramStart"/>
      <w:r>
        <w:t>refer back</w:t>
      </w:r>
      <w:proofErr w:type="gramEnd"/>
      <w:r>
        <w:t xml:space="preserve"> any such recommendation. If necessary, the VC can seek advice from Academic Board.</w:t>
      </w:r>
    </w:p>
    <w:p w14:paraId="197B0866" w14:textId="77777777" w:rsidR="00B87F02" w:rsidRDefault="00B87F02">
      <w:pPr>
        <w:pStyle w:val="ListParagraph"/>
        <w:numPr>
          <w:ilvl w:val="3"/>
          <w:numId w:val="2"/>
        </w:numPr>
        <w:shd w:val="clear" w:color="auto" w:fill="FFFFFF"/>
        <w:spacing w:before="240" w:after="0"/>
      </w:pPr>
      <w:r>
        <w:t xml:space="preserve">REF Leads: Executive Deans have confirmed the appointment of REF (and where necessary additional Disciplinary Lead(s)) for each Unit of Assessment that the College intends to submit to. REF Leads are responsible for convening reading groups to make recommendations on output inclusion to their Unit of Assessment, and for providing reports to the REF Working Party on these Units of Assessment, in line with the timetable given in appendix 2.9. The Reading Groups represent the diversity of research in the Unit and should include members with diverse characteristics and from multiple career stages wherever practical. Where a Unit of Assessment incorporates staff from more than one distinct disciplinary area, the REF lead has responsibility to work closely with the Discipline Lead(s) across the </w:t>
      </w:r>
      <w:proofErr w:type="spellStart"/>
      <w:r>
        <w:t>UoA</w:t>
      </w:r>
      <w:proofErr w:type="spellEnd"/>
      <w:r>
        <w:t xml:space="preserve"> to ensure that all the areas have a fair say in developing the submission. REF Leads lead on the drafting of narrative sections of the submission to their </w:t>
      </w:r>
      <w:proofErr w:type="spellStart"/>
      <w:r>
        <w:t>UoA</w:t>
      </w:r>
      <w:proofErr w:type="spellEnd"/>
      <w:r>
        <w:t xml:space="preserve">, liaising with other Discipline Leads and School Research Leads as necessary. The memberships of each reading group are given in appendix 2.8. </w:t>
      </w:r>
    </w:p>
    <w:p w14:paraId="6CE9C7E8" w14:textId="77777777" w:rsidR="00B87F02" w:rsidRDefault="00B87F02">
      <w:pPr>
        <w:pStyle w:val="ListParagraph"/>
        <w:numPr>
          <w:ilvl w:val="3"/>
          <w:numId w:val="46"/>
        </w:numPr>
        <w:shd w:val="clear" w:color="auto" w:fill="FFFFFF"/>
        <w:spacing w:before="240" w:after="0"/>
      </w:pPr>
      <w:r>
        <w:t xml:space="preserve">The REF WP is supported to reach decisions by its executive group, the Research Strategy Group, as illustrated in Appendix 2.2. </w:t>
      </w:r>
      <w:r>
        <w:rPr>
          <w:iCs/>
          <w:lang w:eastAsia="en-GB"/>
        </w:rPr>
        <w:t>NB when the Research Strategy Group are acting as the executive for the REF Working Party the roles of the individuals involved remain the same as in the full REF Working Party.</w:t>
      </w:r>
    </w:p>
    <w:p w14:paraId="279C7346" w14:textId="77777777" w:rsidR="00B87F02" w:rsidRDefault="00B87F02">
      <w:pPr>
        <w:pStyle w:val="ListParagraph"/>
        <w:numPr>
          <w:ilvl w:val="3"/>
          <w:numId w:val="47"/>
        </w:numPr>
        <w:shd w:val="clear" w:color="auto" w:fill="FFFFFF"/>
        <w:spacing w:before="240" w:after="120"/>
      </w:pPr>
      <w:r>
        <w:t xml:space="preserve">Each Faculty will also convene a </w:t>
      </w:r>
      <w:proofErr w:type="spellStart"/>
      <w:r>
        <w:t>UoA</w:t>
      </w:r>
      <w:proofErr w:type="spellEnd"/>
      <w:r>
        <w:t xml:space="preserve"> Panel to ensure a consistency of approach within the Faulty. The responsibilities of these Panels are to: </w:t>
      </w:r>
    </w:p>
    <w:p w14:paraId="507E3725" w14:textId="77777777" w:rsidR="00B87F02" w:rsidRDefault="00B87F02">
      <w:pPr>
        <w:pStyle w:val="ListParagraph"/>
        <w:numPr>
          <w:ilvl w:val="0"/>
          <w:numId w:val="5"/>
        </w:numPr>
        <w:suppressAutoHyphens w:val="0"/>
        <w:autoSpaceDE w:val="0"/>
        <w:spacing w:after="0"/>
        <w:ind w:left="1450" w:hanging="284"/>
        <w:contextualSpacing/>
        <w:textAlignment w:val="auto"/>
      </w:pPr>
      <w:r>
        <w:t xml:space="preserve">To ensure that the </w:t>
      </w:r>
      <w:proofErr w:type="spellStart"/>
      <w:r>
        <w:t>UoA</w:t>
      </w:r>
      <w:proofErr w:type="spellEnd"/>
      <w:r>
        <w:t xml:space="preserve"> reading groups have followed the principles defined in this Code of Practice to undertake an internal assessment of individual research outputs. </w:t>
      </w:r>
    </w:p>
    <w:p w14:paraId="15165F29" w14:textId="77777777" w:rsidR="00B87F02" w:rsidRDefault="00B87F02">
      <w:pPr>
        <w:pStyle w:val="ListParagraph"/>
        <w:numPr>
          <w:ilvl w:val="0"/>
          <w:numId w:val="5"/>
        </w:numPr>
        <w:suppressAutoHyphens w:val="0"/>
        <w:autoSpaceDE w:val="0"/>
        <w:spacing w:after="0"/>
        <w:ind w:left="1450" w:hanging="284"/>
        <w:contextualSpacing/>
        <w:textAlignment w:val="auto"/>
      </w:pPr>
      <w:r>
        <w:lastRenderedPageBreak/>
        <w:t>To confirm to which Unit of Assessment or Units of Assessment outputs would best be submitted to, including which outputs ought to be cross-referred to other sub-panels; and to refer individual cases if necessary for consideration by other reading groups as described in paragraph 5.2.1 if this has not been already done by the reading group.</w:t>
      </w:r>
    </w:p>
    <w:p w14:paraId="164D5DC5" w14:textId="77777777" w:rsidR="00B87F02" w:rsidRDefault="00B87F02">
      <w:pPr>
        <w:pStyle w:val="ListParagraph"/>
        <w:numPr>
          <w:ilvl w:val="0"/>
          <w:numId w:val="5"/>
        </w:numPr>
        <w:suppressAutoHyphens w:val="0"/>
        <w:autoSpaceDE w:val="0"/>
        <w:spacing w:after="0"/>
        <w:ind w:left="1450" w:hanging="284"/>
        <w:contextualSpacing/>
        <w:textAlignment w:val="auto"/>
      </w:pPr>
      <w:r>
        <w:t>To consider and make recommendations where it has been proposed that it is appropriate to seek independent and / or external advice to assist with a judgement on the quality of individual outputs.</w:t>
      </w:r>
    </w:p>
    <w:p w14:paraId="3113190C" w14:textId="77777777" w:rsidR="00B87F02" w:rsidRDefault="00B87F02">
      <w:pPr>
        <w:pStyle w:val="ListParagraph"/>
        <w:numPr>
          <w:ilvl w:val="0"/>
          <w:numId w:val="5"/>
        </w:numPr>
        <w:suppressAutoHyphens w:val="0"/>
        <w:autoSpaceDE w:val="0"/>
        <w:spacing w:after="0"/>
        <w:ind w:left="1450" w:hanging="284"/>
        <w:contextualSpacing/>
        <w:textAlignment w:val="auto"/>
      </w:pPr>
      <w:r>
        <w:t xml:space="preserve">To confirm the recommendations from the reading groups to the REF Working Party, including requests for double weighting (where appropriate). </w:t>
      </w:r>
    </w:p>
    <w:p w14:paraId="44B4A9F7" w14:textId="77777777" w:rsidR="00B87F02" w:rsidRDefault="00B87F02">
      <w:pPr>
        <w:pStyle w:val="ListParagraph"/>
        <w:numPr>
          <w:ilvl w:val="0"/>
          <w:numId w:val="5"/>
        </w:numPr>
        <w:suppressAutoHyphens w:val="0"/>
        <w:autoSpaceDE w:val="0"/>
        <w:spacing w:after="0"/>
        <w:ind w:left="1450" w:hanging="284"/>
        <w:contextualSpacing/>
        <w:textAlignment w:val="auto"/>
      </w:pPr>
      <w:r>
        <w:t xml:space="preserve">To verify that the outputs are reflective of the strategies and structures of the submitting Unit and (where appropriate) include, for example, contributions from large scale research programmes, national/global initiatives, that all the expected output types from the Unit are represented, and reflect multidisciplinary collaborations and institutional partnerships, and/or support sustainable contributions to knowledge. </w:t>
      </w:r>
    </w:p>
    <w:p w14:paraId="61E942F1" w14:textId="77777777" w:rsidR="00B87F02" w:rsidRDefault="00B87F02">
      <w:pPr>
        <w:pStyle w:val="ListParagraph"/>
        <w:numPr>
          <w:ilvl w:val="0"/>
          <w:numId w:val="5"/>
        </w:numPr>
        <w:suppressAutoHyphens w:val="0"/>
        <w:autoSpaceDE w:val="0"/>
        <w:spacing w:after="0"/>
        <w:ind w:left="1450" w:hanging="284"/>
        <w:contextualSpacing/>
        <w:textAlignment w:val="auto"/>
      </w:pPr>
      <w:r>
        <w:t>To ensure that REF Support Managers and the repository manager have sufficient information about each output to check a) the metadata (and either the DOI or the PDF of the output) are available in our institutional repository or hard copy; and b) the outputs that they are recommending for inclusion are in line with the REF open access policy and its exemptions, especially the clause that no more than 5% of outputs in scope can be non-compliant with the REF policy.</w:t>
      </w:r>
    </w:p>
    <w:p w14:paraId="4CBA0C10" w14:textId="77777777" w:rsidR="00B87F02" w:rsidRDefault="00B87F02">
      <w:pPr>
        <w:pStyle w:val="ListParagraph"/>
        <w:numPr>
          <w:ilvl w:val="0"/>
          <w:numId w:val="5"/>
        </w:numPr>
        <w:suppressAutoHyphens w:val="0"/>
        <w:autoSpaceDE w:val="0"/>
        <w:spacing w:after="0"/>
        <w:ind w:left="1450" w:hanging="284"/>
        <w:contextualSpacing/>
        <w:textAlignment w:val="auto"/>
      </w:pPr>
      <w:r>
        <w:t xml:space="preserve">To confirm that either a) no member of staff has more than 5 outputs attributed to them or b) where an individual member of staff has more than 5 outputs attributed to them this is sufficiently justified in line with the REF guidance. </w:t>
      </w:r>
    </w:p>
    <w:p w14:paraId="42912977" w14:textId="77777777" w:rsidR="00B87F02" w:rsidRDefault="00B87F02">
      <w:pPr>
        <w:pStyle w:val="ListParagraph"/>
        <w:numPr>
          <w:ilvl w:val="3"/>
          <w:numId w:val="48"/>
        </w:numPr>
        <w:autoSpaceDE w:val="0"/>
        <w:spacing w:before="200" w:after="0"/>
      </w:pPr>
      <w:r>
        <w:t xml:space="preserve">Unit of Assessment Panels will include the relevant Executive Dean, the Faculty Head of Research, Innovation and Knowledge Exchange (Chair), the REF and Discipline Lead(s) from all Units in the Faculty, the Heads of School (or their nominee, typically the School Research Lead) and (where appointed) any deputy </w:t>
      </w:r>
      <w:proofErr w:type="spellStart"/>
      <w:r>
        <w:t>UoA</w:t>
      </w:r>
      <w:proofErr w:type="spellEnd"/>
      <w:r>
        <w:t xml:space="preserve"> lead as ex-officio members. Panels are as identified in Appendix 2.7.</w:t>
      </w:r>
    </w:p>
    <w:p w14:paraId="0A6D1CB4" w14:textId="77777777" w:rsidR="00B87F02" w:rsidRDefault="00B87F02">
      <w:pPr>
        <w:pStyle w:val="ListParagraph"/>
        <w:numPr>
          <w:ilvl w:val="3"/>
          <w:numId w:val="49"/>
        </w:numPr>
        <w:autoSpaceDE w:val="0"/>
        <w:spacing w:before="200" w:after="0"/>
      </w:pPr>
      <w:r>
        <w:t xml:space="preserve">The group with responsibility for overseeing decisions about individual researchers (both the confirmation of research independence – see section 3 – and allocation of contracts to </w:t>
      </w:r>
      <w:proofErr w:type="spellStart"/>
      <w:r>
        <w:t>UoAs</w:t>
      </w:r>
      <w:proofErr w:type="spellEnd"/>
      <w:r>
        <w:t xml:space="preserve"> where this is appropriate – see paragraphs 4.1.3 and 4.2.2) is the Research Strategy Group (membership and </w:t>
      </w:r>
      <w:proofErr w:type="spellStart"/>
      <w:r>
        <w:t>ToRs</w:t>
      </w:r>
      <w:proofErr w:type="spellEnd"/>
      <w:r>
        <w:t xml:space="preserve"> in appendix 2.2), acting in its capacity as the executive group of the REF Working Party. Please see sections 3 and 4 for full details. </w:t>
      </w:r>
    </w:p>
    <w:p w14:paraId="7FEC11FF" w14:textId="77777777" w:rsidR="00B87F02" w:rsidRDefault="00B87F02">
      <w:pPr>
        <w:pStyle w:val="ListParagraph"/>
        <w:numPr>
          <w:ilvl w:val="3"/>
          <w:numId w:val="50"/>
        </w:numPr>
        <w:autoSpaceDE w:val="0"/>
        <w:spacing w:before="200" w:after="0"/>
      </w:pPr>
      <w:r>
        <w:t xml:space="preserve">Normally, the REF Working Party meets once per term. Across the 26/27 and 27/28 academic years, and in the first term of the 28/29 academic year, in order to support REF preparations effectively REF WP will be scheduled to meet once per month in term </w:t>
      </w:r>
      <w:proofErr w:type="gramStart"/>
      <w:r>
        <w:t>time, and</w:t>
      </w:r>
      <w:proofErr w:type="gramEnd"/>
      <w:r>
        <w:t xml:space="preserve"> will use email to facilitate scheduled virtual meetings outside of term time should the need arise. The additional meetings will only be held if there are matters to discuss.</w:t>
      </w:r>
    </w:p>
    <w:p w14:paraId="7B9B8457" w14:textId="77777777" w:rsidR="00B87F02" w:rsidRDefault="00B87F02">
      <w:pPr>
        <w:pStyle w:val="ListParagraph"/>
        <w:numPr>
          <w:ilvl w:val="3"/>
          <w:numId w:val="51"/>
        </w:numPr>
        <w:autoSpaceDE w:val="0"/>
        <w:spacing w:before="200" w:after="0"/>
      </w:pPr>
      <w:r>
        <w:t xml:space="preserve">Normally, the Research Strategy Group meets twice per term. Across the 26/27 and 27/28 academic years, and in the first term of the 28/29 academic year, in order to support REF WP effectively the group will be scheduled to meet once per month in term </w:t>
      </w:r>
      <w:proofErr w:type="gramStart"/>
      <w:r>
        <w:t>time, and</w:t>
      </w:r>
      <w:proofErr w:type="gramEnd"/>
      <w:r>
        <w:t xml:space="preserve"> will use email to facilitate scheduled virtual meetings outside of term time should the need arise. The additional meetings will only be held if there are matters to discuss. </w:t>
      </w:r>
    </w:p>
    <w:p w14:paraId="27D0FF31" w14:textId="5655A7F0" w:rsidR="00B87F02" w:rsidRDefault="00B87F02">
      <w:pPr>
        <w:pStyle w:val="ListParagraph"/>
        <w:numPr>
          <w:ilvl w:val="3"/>
          <w:numId w:val="52"/>
        </w:numPr>
        <w:autoSpaceDE w:val="0"/>
        <w:spacing w:before="200" w:after="0"/>
      </w:pPr>
      <w:r>
        <w:t xml:space="preserve">The REF Working Party and Research Strategy Group are both working groups for the College Research Committee and have decision making powers and/or the power to make </w:t>
      </w:r>
      <w:r>
        <w:lastRenderedPageBreak/>
        <w:t>recommendations to the VC for all aspects of the REF (as appropriate). The full College Committee structure is included in appendix 2.5.</w:t>
      </w:r>
      <w:r w:rsidR="00267A4E">
        <w:t xml:space="preserve"> </w:t>
      </w:r>
    </w:p>
    <w:p w14:paraId="3CBE3B8F" w14:textId="77777777" w:rsidR="00B87F02" w:rsidRDefault="00B87F02">
      <w:pPr>
        <w:pStyle w:val="ListParagraph"/>
        <w:numPr>
          <w:ilvl w:val="3"/>
          <w:numId w:val="53"/>
        </w:numPr>
        <w:autoSpaceDE w:val="0"/>
        <w:spacing w:before="200" w:after="0"/>
      </w:pPr>
      <w:r>
        <w:t xml:space="preserve">In addition to the Colleges existing suite of mandatory training (which includes Equality and Diversity essentials, conscious inclusion (which includes unconscious bias), race equity and safeguarding training) REF-specific training will be developed by the Organisational Development and Change team in HR and the Director of Research. This training will be mandatory for all groups and individuals with decision making responsibilities for REF matters and will be delivered face-to-face to reading groups, </w:t>
      </w:r>
      <w:proofErr w:type="spellStart"/>
      <w:r>
        <w:t>UoA</w:t>
      </w:r>
      <w:proofErr w:type="spellEnd"/>
      <w:r>
        <w:t xml:space="preserve"> panels, REF Working Group, Research Strategy Group, Equality Diversity and Inclusion Panel, and the VC, and a training pack will be developed which can be delivered remotely for those who act in an advisory capacity (i.e. Academic Board, College Research Committee, and others) where the need is identified. </w:t>
      </w:r>
    </w:p>
    <w:p w14:paraId="33C9A3EE" w14:textId="77777777" w:rsidR="00B87F02" w:rsidRDefault="00B87F02">
      <w:pPr>
        <w:pStyle w:val="ListParagraph"/>
        <w:numPr>
          <w:ilvl w:val="3"/>
          <w:numId w:val="54"/>
        </w:numPr>
        <w:autoSpaceDE w:val="0"/>
        <w:spacing w:before="200" w:after="0"/>
      </w:pPr>
      <w:r>
        <w:t>This training will include the following content:</w:t>
      </w:r>
    </w:p>
    <w:p w14:paraId="59A2A20C" w14:textId="77777777" w:rsidR="00B87F02" w:rsidRDefault="00B87F02">
      <w:pPr>
        <w:pStyle w:val="ListParagraph"/>
        <w:numPr>
          <w:ilvl w:val="0"/>
          <w:numId w:val="6"/>
        </w:numPr>
        <w:suppressAutoHyphens w:val="0"/>
        <w:spacing w:after="0"/>
        <w:ind w:left="1450"/>
        <w:contextualSpacing/>
        <w:textAlignment w:val="auto"/>
      </w:pPr>
      <w:r>
        <w:t>Legal obligations around EDI</w:t>
      </w:r>
    </w:p>
    <w:p w14:paraId="4F2F963A" w14:textId="77777777" w:rsidR="00B87F02" w:rsidRDefault="00B87F02">
      <w:pPr>
        <w:pStyle w:val="ListParagraph"/>
        <w:numPr>
          <w:ilvl w:val="0"/>
          <w:numId w:val="6"/>
        </w:numPr>
        <w:suppressAutoHyphens w:val="0"/>
        <w:spacing w:after="0"/>
        <w:ind w:left="1450"/>
        <w:contextualSpacing/>
        <w:textAlignment w:val="auto"/>
      </w:pPr>
      <w:r>
        <w:t>Birkbeck’s approach to REF 2029</w:t>
      </w:r>
    </w:p>
    <w:p w14:paraId="6FA3102D" w14:textId="77777777" w:rsidR="00B87F02" w:rsidRDefault="00B87F02">
      <w:pPr>
        <w:pStyle w:val="ListParagraph"/>
        <w:numPr>
          <w:ilvl w:val="0"/>
          <w:numId w:val="7"/>
        </w:numPr>
        <w:suppressAutoHyphens w:val="0"/>
        <w:spacing w:after="0"/>
        <w:ind w:left="1450"/>
        <w:contextualSpacing/>
        <w:textAlignment w:val="auto"/>
      </w:pPr>
      <w:r>
        <w:t>Why equality is important in the REF</w:t>
      </w:r>
    </w:p>
    <w:p w14:paraId="5DB077C5" w14:textId="77777777" w:rsidR="00B87F02" w:rsidRDefault="00B87F02">
      <w:pPr>
        <w:pStyle w:val="ListParagraph"/>
        <w:numPr>
          <w:ilvl w:val="0"/>
          <w:numId w:val="7"/>
        </w:numPr>
        <w:suppressAutoHyphens w:val="0"/>
        <w:spacing w:after="0"/>
        <w:ind w:left="1450"/>
        <w:contextualSpacing/>
        <w:textAlignment w:val="auto"/>
      </w:pPr>
      <w:r>
        <w:t>Changes since REF 2021</w:t>
      </w:r>
    </w:p>
    <w:p w14:paraId="55EFB049" w14:textId="77777777" w:rsidR="00B87F02" w:rsidRDefault="00B87F02">
      <w:pPr>
        <w:pStyle w:val="ListParagraph"/>
        <w:numPr>
          <w:ilvl w:val="0"/>
          <w:numId w:val="7"/>
        </w:numPr>
        <w:suppressAutoHyphens w:val="0"/>
        <w:spacing w:after="0"/>
        <w:ind w:left="1450"/>
        <w:contextualSpacing/>
        <w:textAlignment w:val="auto"/>
      </w:pPr>
      <w:r>
        <w:t xml:space="preserve">Implications for staff responsible for selecting outputs for submission to the REF including unconscious bias </w:t>
      </w:r>
    </w:p>
    <w:p w14:paraId="674AB3B0" w14:textId="77777777" w:rsidR="00B87F02" w:rsidRDefault="00B87F02">
      <w:pPr>
        <w:pStyle w:val="ListParagraph"/>
        <w:numPr>
          <w:ilvl w:val="0"/>
          <w:numId w:val="7"/>
        </w:numPr>
        <w:suppressAutoHyphens w:val="0"/>
        <w:spacing w:after="0"/>
        <w:ind w:left="1450"/>
        <w:contextualSpacing/>
        <w:textAlignment w:val="auto"/>
      </w:pPr>
      <w:r>
        <w:t>Handling sensitive and personal information</w:t>
      </w:r>
    </w:p>
    <w:p w14:paraId="37DC589B" w14:textId="77777777" w:rsidR="00B87F02" w:rsidRDefault="00B87F02">
      <w:pPr>
        <w:pStyle w:val="ListParagraph"/>
        <w:numPr>
          <w:ilvl w:val="0"/>
          <w:numId w:val="7"/>
        </w:numPr>
        <w:suppressAutoHyphens w:val="0"/>
        <w:spacing w:after="0"/>
        <w:ind w:left="1450"/>
        <w:contextualSpacing/>
        <w:textAlignment w:val="auto"/>
      </w:pPr>
      <w:r>
        <w:t xml:space="preserve">GDPR and data protection considerations </w:t>
      </w:r>
    </w:p>
    <w:p w14:paraId="1B3FFAD7" w14:textId="77777777" w:rsidR="00B87F02" w:rsidRDefault="00B87F02">
      <w:pPr>
        <w:pStyle w:val="ListParagraph"/>
        <w:numPr>
          <w:ilvl w:val="0"/>
          <w:numId w:val="7"/>
        </w:numPr>
        <w:suppressAutoHyphens w:val="0"/>
        <w:spacing w:after="0"/>
        <w:ind w:left="1450"/>
        <w:contextualSpacing/>
        <w:textAlignment w:val="auto"/>
      </w:pPr>
      <w:r>
        <w:t xml:space="preserve">A panel briefing pack to be used at the start of every </w:t>
      </w:r>
      <w:proofErr w:type="spellStart"/>
      <w:r>
        <w:t>UoA</w:t>
      </w:r>
      <w:proofErr w:type="spellEnd"/>
      <w:r>
        <w:t xml:space="preserve"> panel session about unconscious bias. </w:t>
      </w:r>
    </w:p>
    <w:p w14:paraId="50E697F7" w14:textId="77777777" w:rsidR="00B87F02" w:rsidRDefault="00B87F02">
      <w:pPr>
        <w:pStyle w:val="ListParagraph"/>
        <w:numPr>
          <w:ilvl w:val="3"/>
          <w:numId w:val="55"/>
        </w:numPr>
        <w:spacing w:before="200" w:after="0"/>
      </w:pPr>
      <w:r>
        <w:t xml:space="preserve">This mandatory training will be developed by the end of May 2026 and will be delivered to all the groups listed </w:t>
      </w:r>
      <w:proofErr w:type="gramStart"/>
      <w:r>
        <w:t>above, and</w:t>
      </w:r>
      <w:proofErr w:type="gramEnd"/>
      <w:r>
        <w:t xml:space="preserve"> made available to Academic Board and College Research Committee by the end of the 2025/2026 Academic year. </w:t>
      </w:r>
      <w:proofErr w:type="gramStart"/>
      <w:r>
        <w:t>In the event that</w:t>
      </w:r>
      <w:proofErr w:type="gramEnd"/>
      <w:r>
        <w:t xml:space="preserve"> any members of the </w:t>
      </w:r>
      <w:proofErr w:type="spellStart"/>
      <w:r>
        <w:t>UoA</w:t>
      </w:r>
      <w:proofErr w:type="spellEnd"/>
      <w:r>
        <w:t xml:space="preserve"> Panels, The REF Working Party or the Research Strategy Group change after the training has been delivered, an ad hoc session for their successor(s) will be organised as soon as possible after appointment. </w:t>
      </w:r>
    </w:p>
    <w:p w14:paraId="511F38F2" w14:textId="77777777" w:rsidR="00B87F02" w:rsidRDefault="00B87F02">
      <w:pPr>
        <w:pStyle w:val="ListParagraph"/>
        <w:numPr>
          <w:ilvl w:val="3"/>
          <w:numId w:val="56"/>
        </w:numPr>
        <w:spacing w:before="200" w:after="0"/>
      </w:pPr>
      <w:r>
        <w:t xml:space="preserve">In response to the findings from our REF 2021 Equality Impact Assessment (EIA), a short piece of training around unconscious bias, especially in relation to disability and ethnicity, will be developed and will be used at the start of every meeting where decisions about REF are to be taken (see section 1.4). </w:t>
      </w:r>
    </w:p>
    <w:p w14:paraId="4F0CFD8C" w14:textId="77777777" w:rsidR="00B87F02" w:rsidRDefault="00B87F02">
      <w:pPr>
        <w:pStyle w:val="ListParagraph"/>
        <w:numPr>
          <w:ilvl w:val="3"/>
          <w:numId w:val="57"/>
        </w:numPr>
        <w:spacing w:before="200" w:after="0"/>
      </w:pPr>
      <w:r>
        <w:t>In addition, members of reading groups will be required to undergo training and calibration exercises to ensure a consistent approach to output selection before output selection begins (see paragraph 1.4.6).</w:t>
      </w:r>
    </w:p>
    <w:p w14:paraId="6915D47A" w14:textId="77777777" w:rsidR="00B87F02" w:rsidRDefault="00B87F02">
      <w:pPr>
        <w:pStyle w:val="ListParagraph"/>
        <w:numPr>
          <w:ilvl w:val="3"/>
          <w:numId w:val="58"/>
        </w:numPr>
        <w:spacing w:before="200" w:after="0"/>
      </w:pPr>
      <w:r>
        <w:t xml:space="preserve">Please see section 5 for a description of how outputs will be selected, including how this selection process will ensure the full diversity of our research is represented. </w:t>
      </w:r>
    </w:p>
    <w:p w14:paraId="6611DFA2" w14:textId="77777777" w:rsidR="00B87F02" w:rsidRDefault="00B87F02">
      <w:pPr>
        <w:pStyle w:val="ListParagraph"/>
        <w:numPr>
          <w:ilvl w:val="1"/>
          <w:numId w:val="2"/>
        </w:numPr>
        <w:spacing w:before="100" w:after="100"/>
      </w:pPr>
      <w:proofErr w:type="spellStart"/>
      <w:r>
        <w:rPr>
          <w:rFonts w:eastAsia="Times New Roman"/>
          <w:b/>
          <w:bCs/>
          <w:lang w:eastAsia="en-GB"/>
        </w:rPr>
        <w:t>Contextualisation</w:t>
      </w:r>
      <w:proofErr w:type="spellEnd"/>
      <w:r>
        <w:rPr>
          <w:rFonts w:eastAsia="Times New Roman"/>
          <w:b/>
          <w:bCs/>
          <w:lang w:eastAsia="en-GB"/>
        </w:rPr>
        <w:t xml:space="preserve"> within Institutional Policies:</w:t>
      </w:r>
    </w:p>
    <w:p w14:paraId="56BD3FCA" w14:textId="77777777" w:rsidR="00B87F02" w:rsidRDefault="00B87F02">
      <w:pPr>
        <w:spacing w:before="100" w:after="100"/>
        <w:ind w:left="360"/>
        <w:rPr>
          <w:rFonts w:eastAsia="Times New Roman"/>
          <w:color w:val="002060"/>
          <w:sz w:val="22"/>
          <w:lang w:eastAsia="en-GB"/>
        </w:rPr>
      </w:pPr>
      <w:r>
        <w:rPr>
          <w:rFonts w:eastAsia="Times New Roman"/>
          <w:color w:val="002060"/>
          <w:sz w:val="22"/>
          <w:lang w:eastAsia="en-GB"/>
        </w:rPr>
        <w:t>Describe how this Code of Practice relates to your institution's context on equality, diversity, and inclusion, PCE and responsible research assessment.</w:t>
      </w:r>
    </w:p>
    <w:p w14:paraId="3544FE7A" w14:textId="77777777" w:rsidR="00B87F02" w:rsidRDefault="00B87F02">
      <w:pPr>
        <w:pStyle w:val="ListParagraph"/>
        <w:numPr>
          <w:ilvl w:val="0"/>
          <w:numId w:val="59"/>
        </w:numPr>
        <w:ind w:hanging="720"/>
      </w:pPr>
      <w:r>
        <w:rPr>
          <w:shd w:val="clear" w:color="auto" w:fill="FEFEFE"/>
        </w:rPr>
        <w:t xml:space="preserve">Birkbeck is proud of its diversity and recognises the value that this brings to </w:t>
      </w:r>
      <w:proofErr w:type="gramStart"/>
      <w:r>
        <w:rPr>
          <w:shd w:val="clear" w:color="auto" w:fill="FEFEFE"/>
        </w:rPr>
        <w:t>College</w:t>
      </w:r>
      <w:proofErr w:type="gramEnd"/>
      <w:r>
        <w:rPr>
          <w:shd w:val="clear" w:color="auto" w:fill="FEFEFE"/>
        </w:rPr>
        <w:t xml:space="preserve"> life. The College embraces and celebrates the differences between people, recognising the strengths </w:t>
      </w:r>
      <w:r>
        <w:rPr>
          <w:shd w:val="clear" w:color="auto" w:fill="FEFEFE"/>
        </w:rPr>
        <w:lastRenderedPageBreak/>
        <w:t>and benefits of a diverse, inclusive society, workforce and student body. The College believes that education should be available to all sections of society, providing an inclusive working and learning environment for students and staff, so that all may develop to their full potential.</w:t>
      </w:r>
    </w:p>
    <w:p w14:paraId="32E35CD9" w14:textId="77777777" w:rsidR="00B87F02" w:rsidRDefault="00B87F02">
      <w:pPr>
        <w:pStyle w:val="ListParagraph"/>
        <w:numPr>
          <w:ilvl w:val="0"/>
          <w:numId w:val="60"/>
        </w:numPr>
        <w:ind w:hanging="720"/>
      </w:pPr>
      <w:r>
        <w:t>The College strategic objectives make clear its commitment to equality and diversity at the highest level – providing a good working environment and promoting equality and diversity in all aspects of its activities, such as</w:t>
      </w:r>
      <w:r>
        <w:rPr>
          <w:shd w:val="clear" w:color="auto" w:fill="FEFEFE"/>
        </w:rPr>
        <w:t xml:space="preserve"> through the development of fair and equitable policies, procedures, academic programmes of study, courses, training and development programmes, which are consistently applied and regularly monitored. Birkbeck encourages and promotes an inclusive approach that treats colleagues, students and other service users with respect.</w:t>
      </w:r>
    </w:p>
    <w:p w14:paraId="576DB218" w14:textId="77777777" w:rsidR="00B87F02" w:rsidRDefault="00B87F02">
      <w:pPr>
        <w:pStyle w:val="ListParagraph"/>
        <w:numPr>
          <w:ilvl w:val="0"/>
          <w:numId w:val="61"/>
        </w:numPr>
        <w:ind w:hanging="720"/>
      </w:pPr>
      <w:r>
        <w:rPr>
          <w:shd w:val="clear" w:color="auto" w:fill="FEFEFE"/>
        </w:rPr>
        <w:t>The Equality, Diversity and Inclusion Committee is the College’s leading governance structure for championing equality and diversity. The equalities agenda is embedded in the College's decision-making structure, through the work of the Equality, Diversity and Inclusion Committee which reports to the College </w:t>
      </w:r>
      <w:hyperlink r:id="rId14" w:history="1">
        <w:r>
          <w:rPr>
            <w:rStyle w:val="Hyperlink"/>
            <w:color w:val="auto"/>
            <w:szCs w:val="22"/>
            <w:u w:val="none"/>
            <w:shd w:val="clear" w:color="auto" w:fill="FEFEFE"/>
          </w:rPr>
          <w:t>Governors</w:t>
        </w:r>
      </w:hyperlink>
      <w:r>
        <w:rPr>
          <w:shd w:val="clear" w:color="auto" w:fill="FEFEFE"/>
        </w:rPr>
        <w:t xml:space="preserve"> via the University Strategy Board. </w:t>
      </w:r>
      <w:r>
        <w:rPr>
          <w:bCs/>
          <w:shd w:val="clear" w:color="auto" w:fill="FEFEFE"/>
        </w:rPr>
        <w:t xml:space="preserve">The Committee has a strategic overview of Staff and Student Equality &amp; Diversity issues, with a broad remit. </w:t>
      </w:r>
      <w:r>
        <w:rPr>
          <w:shd w:val="clear" w:color="auto" w:fill="FEFEFE"/>
        </w:rPr>
        <w:t xml:space="preserve">The Committee supports and champions equality and diversity across the College – its members are from all Faculties and includes student and Trade Union representatives. </w:t>
      </w:r>
    </w:p>
    <w:p w14:paraId="26562494" w14:textId="7FD70151" w:rsidR="00B87F02" w:rsidRDefault="00B87F02">
      <w:pPr>
        <w:pStyle w:val="ListParagraph"/>
        <w:numPr>
          <w:ilvl w:val="0"/>
          <w:numId w:val="62"/>
        </w:numPr>
        <w:ind w:hanging="720"/>
      </w:pPr>
      <w:r>
        <w:t xml:space="preserve">The College has set out its commitments to equality and diversity in its </w:t>
      </w:r>
      <w:hyperlink r:id="rId15" w:tooltip="Information on Birkbeck Equality and Diversity Statement on the Birkbeck, University of London website." w:history="1">
        <w:r>
          <w:rPr>
            <w:rStyle w:val="Hyperlink"/>
            <w:szCs w:val="22"/>
          </w:rPr>
          <w:t>Birkbeck equality and diversity statement - Birkbeck, University of London</w:t>
        </w:r>
      </w:hyperlink>
    </w:p>
    <w:p w14:paraId="51C5FDC8" w14:textId="6D0106D2" w:rsidR="00B87F02" w:rsidRDefault="00B87F02">
      <w:pPr>
        <w:pStyle w:val="ListParagraph"/>
        <w:numPr>
          <w:ilvl w:val="0"/>
          <w:numId w:val="63"/>
        </w:numPr>
        <w:ind w:hanging="720"/>
      </w:pPr>
      <w:r>
        <w:rPr>
          <w:shd w:val="clear" w:color="auto" w:fill="FEFEFE"/>
        </w:rPr>
        <w:t>The College works to ensure that it benchmarks its work against national schemes. The College holds a bronze level Athena Swan award and other awards are held or in progress at Faculty level following our restructure. The College is a Mindful Employer Charter signatory, a Stonewall Proud Employer and an active participant in the Disability Confident scheme. We submitted a Race Equality Bronze application in November 2025.</w:t>
      </w:r>
      <w:r w:rsidR="00267A4E">
        <w:rPr>
          <w:shd w:val="clear" w:color="auto" w:fill="FEFEFE"/>
        </w:rPr>
        <w:t xml:space="preserve"> </w:t>
      </w:r>
    </w:p>
    <w:p w14:paraId="33A5CE74" w14:textId="77777777" w:rsidR="00B87F02" w:rsidRDefault="00B87F02">
      <w:pPr>
        <w:pStyle w:val="ListParagraph"/>
        <w:numPr>
          <w:ilvl w:val="0"/>
          <w:numId w:val="64"/>
        </w:numPr>
        <w:ind w:hanging="720"/>
      </w:pPr>
      <w:r>
        <w:t xml:space="preserve">As part of its commitment to equality and diversity, Birkbeck is keen to support the establishment of staff diversity networks. They provide an opportunity for staff to support each other, share information, inspire others and can play a consultative role </w:t>
      </w:r>
      <w:proofErr w:type="gramStart"/>
      <w:r>
        <w:t>to help</w:t>
      </w:r>
      <w:proofErr w:type="gramEnd"/>
      <w:r>
        <w:t xml:space="preserve"> </w:t>
      </w:r>
      <w:proofErr w:type="gramStart"/>
      <w:r>
        <w:t>improve the workplace for everyone</w:t>
      </w:r>
      <w:proofErr w:type="gramEnd"/>
      <w:r>
        <w:t>. Birkbeck currently has four academic staff networks: the Staff Disability Network, an LGBT+ staff network, the REACH (Race, Ethnicity and Cultural Heritage) staff network, and the Parents Network, with others in development. The Aurora network also supports women across both academic and professional services.</w:t>
      </w:r>
    </w:p>
    <w:p w14:paraId="7AEE0816" w14:textId="77777777" w:rsidR="00B87F02" w:rsidRDefault="00B87F02">
      <w:pPr>
        <w:pStyle w:val="ListParagraph"/>
        <w:numPr>
          <w:ilvl w:val="0"/>
          <w:numId w:val="65"/>
        </w:numPr>
        <w:ind w:hanging="720"/>
      </w:pPr>
      <w:r>
        <w:t xml:space="preserve">The College is committed to ensuring that its REF procedures do not discriminate unlawfully </w:t>
      </w:r>
      <w:proofErr w:type="gramStart"/>
      <w:r>
        <w:t>against, or</w:t>
      </w:r>
      <w:proofErr w:type="gramEnd"/>
      <w:r>
        <w:t xml:space="preserve"> otherwise have the effect of harassing or victimising individuals because of age, disability, gender identity, marriage and civil partnership, race, religion or belief, sex or sexual orientation or because they are pregnant or have recently given birth, and makes reasonable adjustments for any member of staff as and when necessary.</w:t>
      </w:r>
    </w:p>
    <w:p w14:paraId="18B92CEE" w14:textId="77777777" w:rsidR="00B87F02" w:rsidRDefault="00B87F02">
      <w:pPr>
        <w:pStyle w:val="ListParagraph"/>
        <w:numPr>
          <w:ilvl w:val="0"/>
          <w:numId w:val="66"/>
        </w:numPr>
        <w:ind w:hanging="720"/>
      </w:pPr>
      <w:r>
        <w:t xml:space="preserve">The Code of Practice takes account of the requirements of the Equality Act 2010. Under the Public Sector Equality Duty, Birkbeck is required to have due regard to the need to </w:t>
      </w:r>
      <w:r>
        <w:rPr>
          <w:lang w:eastAsia="en-GB"/>
        </w:rPr>
        <w:t>eliminate unlawful discrimination, harassment, victimisation and any other conduct prohibited by the Equality Act 2010; advance equality of opportunity between people who share a protected characteristic and people who do not share it; and foster good relations between people who share a protected characteristic and those who do not</w:t>
      </w:r>
    </w:p>
    <w:p w14:paraId="12FD6089" w14:textId="77777777" w:rsidR="00B87F02" w:rsidRDefault="00B87F02">
      <w:pPr>
        <w:pStyle w:val="ListParagraph"/>
        <w:numPr>
          <w:ilvl w:val="0"/>
          <w:numId w:val="67"/>
        </w:numPr>
        <w:ind w:hanging="720"/>
      </w:pPr>
      <w:r>
        <w:rPr>
          <w:shd w:val="clear" w:color="auto" w:fill="FFFFFF"/>
        </w:rPr>
        <w:t xml:space="preserve">The College recognises the statutory rights of employees on fixed-term contracts and employees on part-time contracts. The College’s employees on fixed-term contracts are entitled to equal treatment with employees on permanent contracts and part-time workers are </w:t>
      </w:r>
      <w:r>
        <w:rPr>
          <w:shd w:val="clear" w:color="auto" w:fill="FFFFFF"/>
        </w:rPr>
        <w:lastRenderedPageBreak/>
        <w:t xml:space="preserve">entitled to not be treated less favourably than comparable full-time workers in relation to the terms of their contract unless the College can justify such less favourable treatment on wholly objective grounds. </w:t>
      </w:r>
    </w:p>
    <w:p w14:paraId="1D6D127B" w14:textId="77777777" w:rsidR="00B87F02" w:rsidRDefault="00B87F02">
      <w:pPr>
        <w:pStyle w:val="ListParagraph"/>
        <w:numPr>
          <w:ilvl w:val="0"/>
          <w:numId w:val="68"/>
        </w:numPr>
        <w:ind w:hanging="720"/>
      </w:pPr>
      <w:r>
        <w:t>The College’s Fixed-Term Contracts Policy is in line with Fixed-term contract legislation which requires an objective justification as to why a member of staff is not on an open-ended contract, these are:</w:t>
      </w:r>
    </w:p>
    <w:p w14:paraId="7C6AC0B0" w14:textId="77777777" w:rsidR="00B87F02" w:rsidRDefault="00B87F02">
      <w:pPr>
        <w:pStyle w:val="ListParagraph"/>
        <w:numPr>
          <w:ilvl w:val="0"/>
          <w:numId w:val="69"/>
        </w:numPr>
        <w:ind w:left="1434" w:hanging="357"/>
      </w:pPr>
      <w:r>
        <w:t xml:space="preserve">to cover the work of a substantive post holder who is temporarily away from the </w:t>
      </w:r>
      <w:proofErr w:type="gramStart"/>
      <w:r>
        <w:t>College</w:t>
      </w:r>
      <w:proofErr w:type="gramEnd"/>
      <w:r>
        <w:t xml:space="preserve"> but who will return in due course (e.g. study leave, sickness absence, secondments, maternity or adoption leave)</w:t>
      </w:r>
    </w:p>
    <w:p w14:paraId="266F0F22" w14:textId="77777777" w:rsidR="00B87F02" w:rsidRDefault="00B87F02">
      <w:pPr>
        <w:pStyle w:val="ListParagraph"/>
        <w:numPr>
          <w:ilvl w:val="0"/>
          <w:numId w:val="69"/>
        </w:numPr>
        <w:ind w:left="1434" w:hanging="357"/>
      </w:pPr>
      <w:proofErr w:type="gramStart"/>
      <w:r>
        <w:t>the</w:t>
      </w:r>
      <w:proofErr w:type="gramEnd"/>
      <w:r>
        <w:t xml:space="preserve"> post is in consequence of the opportunity provided by Birkbeck to undertake a secondment or career development position</w:t>
      </w:r>
    </w:p>
    <w:p w14:paraId="0DA4541C" w14:textId="77777777" w:rsidR="00B87F02" w:rsidRDefault="00B87F02">
      <w:pPr>
        <w:pStyle w:val="ListParagraph"/>
        <w:numPr>
          <w:ilvl w:val="0"/>
          <w:numId w:val="69"/>
        </w:numPr>
        <w:ind w:left="1434" w:hanging="357"/>
      </w:pPr>
      <w:proofErr w:type="gramStart"/>
      <w:r>
        <w:t>the</w:t>
      </w:r>
      <w:proofErr w:type="gramEnd"/>
      <w:r>
        <w:t xml:space="preserve"> post is in consequence of the requirement to provide </w:t>
      </w:r>
      <w:proofErr w:type="gramStart"/>
      <w:r>
        <w:t>time limited</w:t>
      </w:r>
      <w:proofErr w:type="gramEnd"/>
      <w:r>
        <w:t xml:space="preserve"> specialist expertise and/or recent experience that was not previously available at Birkbeck e.g. a specific skill linked to a project.</w:t>
      </w:r>
    </w:p>
    <w:p w14:paraId="743B77F5" w14:textId="77777777" w:rsidR="00B87F02" w:rsidRDefault="00B87F02">
      <w:pPr>
        <w:pStyle w:val="ListParagraph"/>
        <w:numPr>
          <w:ilvl w:val="0"/>
          <w:numId w:val="69"/>
        </w:numPr>
        <w:ind w:left="1434" w:hanging="357"/>
      </w:pPr>
      <w:proofErr w:type="gramStart"/>
      <w:r>
        <w:t>the</w:t>
      </w:r>
      <w:proofErr w:type="gramEnd"/>
      <w:r>
        <w:t xml:space="preserve"> post is paid for by external </w:t>
      </w:r>
      <w:proofErr w:type="gramStart"/>
      <w:r>
        <w:t>funds</w:t>
      </w:r>
      <w:proofErr w:type="gramEnd"/>
      <w:r>
        <w:t xml:space="preserve"> and this money is only available for the period stated (subject to extension if there is a consequent extension of funds).</w:t>
      </w:r>
    </w:p>
    <w:p w14:paraId="2875DE47" w14:textId="77777777" w:rsidR="00B87F02" w:rsidRDefault="00B87F02">
      <w:pPr>
        <w:pStyle w:val="ListParagraph"/>
        <w:numPr>
          <w:ilvl w:val="0"/>
          <w:numId w:val="69"/>
        </w:numPr>
        <w:ind w:left="1434" w:hanging="357"/>
      </w:pPr>
      <w:r>
        <w:t>to meet fluctuating demand for short courses, particular modules or schemes of study or to meet seasonal fluctuations in demand for a limited period.</w:t>
      </w:r>
    </w:p>
    <w:p w14:paraId="4CDD0F67" w14:textId="08D3FC43" w:rsidR="00B87F02" w:rsidRDefault="00B87F02" w:rsidP="00F921B5">
      <w:pPr>
        <w:spacing w:after="120"/>
        <w:ind w:left="741" w:hanging="32"/>
      </w:pPr>
      <w:r>
        <w:rPr>
          <w:sz w:val="22"/>
        </w:rPr>
        <w:t xml:space="preserve">The Fixed term policy </w:t>
      </w:r>
      <w:hyperlink r:id="rId16" w:tooltip="Information on Fixed-Term Contracts Policy and Guidance on the Birkbeck, University of London website." w:history="1">
        <w:r>
          <w:rPr>
            <w:rStyle w:val="Hyperlink"/>
            <w:sz w:val="22"/>
          </w:rPr>
          <w:t>https://www.bbk.ac.uk/professional-services/human-resources/fixed-term-contracts-policy-and-guidance</w:t>
        </w:r>
      </w:hyperlink>
      <w:r>
        <w:rPr>
          <w:sz w:val="22"/>
        </w:rPr>
        <w:t xml:space="preserve"> ensures the line manager discusses the end of FTC with HR then arranges a meeting with the member of staff to discuss options.</w:t>
      </w:r>
    </w:p>
    <w:p w14:paraId="57A4B271" w14:textId="53E3BDBA" w:rsidR="00B87F02" w:rsidRDefault="00B87F02">
      <w:pPr>
        <w:pStyle w:val="ListParagraph"/>
        <w:numPr>
          <w:ilvl w:val="0"/>
          <w:numId w:val="70"/>
        </w:numPr>
        <w:ind w:hanging="720"/>
      </w:pPr>
      <w:r>
        <w:t>Each appointment (or extension) is reviewed to ensure that usage can be justified.</w:t>
      </w:r>
      <w:r w:rsidR="00267A4E">
        <w:t xml:space="preserve"> </w:t>
      </w:r>
      <w:r>
        <w:t xml:space="preserve">Fixed-term contract staff (FTCs) are appointed for a range of reasons, for example as researchers on grants or to “buy out” teaching for academics with research grants. FTC levels by gender are being monitored as part of Athena SWAN College and Departmental submissions. Levels of FTCs across the College are monitored and reported on in our annual Workforce Planning Metrics, at College and School levels. </w:t>
      </w:r>
      <w:proofErr w:type="gramStart"/>
      <w:r>
        <w:t>The majority of</w:t>
      </w:r>
      <w:proofErr w:type="gramEnd"/>
      <w:r>
        <w:t xml:space="preserve"> research-only contract type roles are fixed term. This is predominantly because they are grant funded or focussed on completion of a particular piece of research. The staffing approval process requires that a valid reason is given if the post is requested on a fixed-term basis.</w:t>
      </w:r>
    </w:p>
    <w:p w14:paraId="645E7297" w14:textId="77777777" w:rsidR="00B87F02" w:rsidRDefault="00B87F02">
      <w:pPr>
        <w:pStyle w:val="ListParagraph"/>
        <w:numPr>
          <w:ilvl w:val="0"/>
          <w:numId w:val="71"/>
        </w:numPr>
        <w:ind w:hanging="720"/>
      </w:pPr>
      <w:r>
        <w:t>Birkbeck recognises that many employees may have personal responsibilities and obligations in addition to their work responsibilities. As part of the College’s commitment to equality, the Flexible Working Policy for College staff has been developed with the intention of helping members of staff to balance their commitments and interests outside work with their work. Flexible arrangements offered to members of staff under this policy cover a wide range of options, including part-</w:t>
      </w:r>
      <w:proofErr w:type="gramStart"/>
      <w:r>
        <w:t>time</w:t>
      </w:r>
      <w:proofErr w:type="gramEnd"/>
      <w:r>
        <w:t xml:space="preserve">, job-share, homeworking, partial home working and staggered hours or </w:t>
      </w:r>
      <w:proofErr w:type="gramStart"/>
      <w:r>
        <w:t>flexi-time</w:t>
      </w:r>
      <w:proofErr w:type="gramEnd"/>
      <w:r>
        <w:t>.</w:t>
      </w:r>
    </w:p>
    <w:p w14:paraId="165EE705" w14:textId="77777777" w:rsidR="00B87F02" w:rsidRDefault="00B87F02">
      <w:pPr>
        <w:pStyle w:val="ListParagraph"/>
        <w:numPr>
          <w:ilvl w:val="0"/>
          <w:numId w:val="72"/>
        </w:numPr>
        <w:ind w:hanging="720"/>
      </w:pPr>
      <w:r>
        <w:t>It is important to ensure that the REF selection processes are assessed for their impact on different protected characteristics by gathering data on staff submissions in relation to protected characteristics, and to be mindful of the duty to foster good relations when evaluating the research environment.</w:t>
      </w:r>
    </w:p>
    <w:p w14:paraId="6A82593D" w14:textId="6A6D6E13" w:rsidR="00B87F02" w:rsidRDefault="00B87F02">
      <w:pPr>
        <w:pStyle w:val="ListParagraph"/>
        <w:numPr>
          <w:ilvl w:val="0"/>
          <w:numId w:val="73"/>
        </w:numPr>
        <w:ind w:hanging="720"/>
      </w:pPr>
      <w:r>
        <w:lastRenderedPageBreak/>
        <w:t>Birkbeck proudly supports the professional development of our staff, offering all colleagues access to mentoring support in addition to our mandated annual appraisals processes. We offer an extensive range of personal and professional development opportunities in house (</w:t>
      </w:r>
      <w:hyperlink r:id="rId17" w:tooltip="Birkbeck, University of London Professional Development and Training SharePoint website." w:history="1">
        <w:r>
          <w:rPr>
            <w:rStyle w:val="Hyperlink"/>
            <w:szCs w:val="22"/>
          </w:rPr>
          <w:t>https://birkbeckuol.sharepoint.com/sites/ps-cn-prof-dev-and-training</w:t>
        </w:r>
      </w:hyperlink>
      <w:r>
        <w:t xml:space="preserve"> - intranet link, only available to Birkbeck staff) as well as an employee assistance programme, mental health first aiders and dignity at work support, plus programmed support activities for those considering promotion applications. We recently renewed our HR Excellence in Research award, demonstrating our compliance with the Concordat to support the career development of researchers. </w:t>
      </w:r>
    </w:p>
    <w:p w14:paraId="7E8AB674" w14:textId="77777777" w:rsidR="00B87F02" w:rsidRDefault="00B87F02">
      <w:pPr>
        <w:pStyle w:val="ListParagraph"/>
        <w:numPr>
          <w:ilvl w:val="0"/>
          <w:numId w:val="74"/>
        </w:numPr>
        <w:ind w:hanging="720"/>
      </w:pPr>
      <w:r>
        <w:t>We further support our research culture and our researchers by proactively engaging with responsible research practices. For example, we host the Open Library for the Humanities, the world-renowned diamond open access platform, we were an early mover on rights retention for journals (and are looking to implement this for longform outputs in this census period), we were an early UK signatory to both the DORA and Barcelona Declarations, and, through our membership of the UK reproducibility network we are a member of the Open and Responsible Researcher Reward and Recognition (OR4) Community of Practice.</w:t>
      </w:r>
    </w:p>
    <w:p w14:paraId="04E5427F" w14:textId="4DAD4310" w:rsidR="00B87F02" w:rsidRDefault="00B87F02" w:rsidP="008162DC">
      <w:pPr>
        <w:pStyle w:val="ListParagraph"/>
      </w:pPr>
      <w:r>
        <w:rPr>
          <w:lang w:eastAsia="en-GB"/>
        </w:rPr>
        <w:t>1.3</w:t>
      </w:r>
      <w:r w:rsidR="008162DC">
        <w:rPr>
          <w:lang w:eastAsia="en-GB"/>
        </w:rPr>
        <w:tab/>
      </w:r>
      <w:r w:rsidRPr="008162DC">
        <w:rPr>
          <w:b/>
          <w:bCs/>
          <w:lang w:eastAsia="en-GB"/>
        </w:rPr>
        <w:t>Update on Actions Since REF 2021:</w:t>
      </w:r>
    </w:p>
    <w:p w14:paraId="6A34AE7E" w14:textId="77777777" w:rsidR="00B87F02" w:rsidRDefault="00B87F02">
      <w:pPr>
        <w:spacing w:before="100" w:after="100"/>
        <w:ind w:left="883" w:hanging="883"/>
      </w:pPr>
      <w:r>
        <w:rPr>
          <w:rFonts w:eastAsia="Times New Roman"/>
          <w:color w:val="002060"/>
          <w:sz w:val="22"/>
          <w:lang w:eastAsia="en-GB"/>
        </w:rPr>
        <w:t>Summarise key actions taken since REF 2021 to address issues or recommendations from previous EIAs.</w:t>
      </w:r>
    </w:p>
    <w:p w14:paraId="021705FF" w14:textId="77777777" w:rsidR="00B87F02" w:rsidRDefault="00B87F02">
      <w:pPr>
        <w:pStyle w:val="ListParagraph"/>
        <w:numPr>
          <w:ilvl w:val="2"/>
          <w:numId w:val="8"/>
        </w:numPr>
        <w:spacing w:before="100" w:after="100"/>
      </w:pPr>
      <w:r>
        <w:t xml:space="preserve">This section outlines the changes we have put in place following our EIA from REF 2021, which, at a high level, outlined the challenges we face in building a more inclusive research community. We have made other interventions to support our research culture and community (for example, through our refreshed institutional research strategy, through securing funding from the </w:t>
      </w:r>
      <w:proofErr w:type="spellStart"/>
      <w:r>
        <w:t>Wellcome</w:t>
      </w:r>
      <w:proofErr w:type="spellEnd"/>
      <w:r>
        <w:t xml:space="preserve"> Institutional funding for Research Culture call) but these will be considered in the SPRE element of the return rather than in this Code of Practice. </w:t>
      </w:r>
    </w:p>
    <w:p w14:paraId="484DC288" w14:textId="77777777" w:rsidR="00B87F02" w:rsidRDefault="00B87F02">
      <w:pPr>
        <w:pStyle w:val="ListParagraph"/>
        <w:numPr>
          <w:ilvl w:val="2"/>
          <w:numId w:val="8"/>
        </w:numPr>
        <w:spacing w:before="100" w:after="100"/>
      </w:pPr>
      <w:r>
        <w:t xml:space="preserve">In our EIA from our REF 2021 we observed the following in all three rounds of output selection: </w:t>
      </w:r>
    </w:p>
    <w:p w14:paraId="6A2CAC67" w14:textId="77777777" w:rsidR="00B87F02" w:rsidRDefault="00B87F02">
      <w:pPr>
        <w:pStyle w:val="ListParagraph"/>
        <w:numPr>
          <w:ilvl w:val="0"/>
          <w:numId w:val="75"/>
        </w:numPr>
        <w:spacing w:after="0"/>
        <w:ind w:left="1452" w:hanging="284"/>
      </w:pPr>
      <w:proofErr w:type="gramStart"/>
      <w:r>
        <w:t>all</w:t>
      </w:r>
      <w:proofErr w:type="gramEnd"/>
      <w:r>
        <w:t xml:space="preserve"> analyses needed to be done on a per person not FTE basis because biases in the </w:t>
      </w:r>
      <w:proofErr w:type="gramStart"/>
      <w:r>
        <w:t>part time</w:t>
      </w:r>
      <w:proofErr w:type="gramEnd"/>
      <w:r>
        <w:t xml:space="preserve"> group were largely responsible for differences in the per FTE group for other characteristics. These discrepancies were due to </w:t>
      </w:r>
      <w:proofErr w:type="gramStart"/>
      <w:r>
        <w:t>a number of</w:t>
      </w:r>
      <w:proofErr w:type="gramEnd"/>
      <w:r>
        <w:t xml:space="preserve"> senior predominantly white male staff who are often over-represented in the selection</w:t>
      </w:r>
    </w:p>
    <w:p w14:paraId="4EDEE9D2" w14:textId="77777777" w:rsidR="00B87F02" w:rsidRDefault="00B87F02">
      <w:pPr>
        <w:pStyle w:val="ListParagraph"/>
        <w:numPr>
          <w:ilvl w:val="0"/>
          <w:numId w:val="75"/>
        </w:numPr>
        <w:spacing w:after="0"/>
        <w:ind w:left="1452" w:hanging="284"/>
      </w:pPr>
      <w:proofErr w:type="gramStart"/>
      <w:r>
        <w:t>the</w:t>
      </w:r>
      <w:proofErr w:type="gramEnd"/>
      <w:r>
        <w:t xml:space="preserve"> staff pool and data used for the analyses </w:t>
      </w:r>
      <w:proofErr w:type="gramStart"/>
      <w:r>
        <w:t>was</w:t>
      </w:r>
      <w:proofErr w:type="gramEnd"/>
      <w:r>
        <w:t xml:space="preserve"> kept the same throughout the interim and final EIAs to ensure that staffing changes did not skew the data. </w:t>
      </w:r>
    </w:p>
    <w:p w14:paraId="58BD0789" w14:textId="77777777" w:rsidR="00B87F02" w:rsidRDefault="00B87F02">
      <w:pPr>
        <w:pStyle w:val="ListParagraph"/>
        <w:numPr>
          <w:ilvl w:val="0"/>
          <w:numId w:val="75"/>
        </w:numPr>
        <w:spacing w:after="0"/>
        <w:ind w:left="1452" w:hanging="284"/>
      </w:pPr>
      <w:r>
        <w:t xml:space="preserve">staff on fixed term contracts were under-represented in the analysis, but as this staff group are primarily early career </w:t>
      </w:r>
      <w:proofErr w:type="gramStart"/>
      <w:r>
        <w:t>researchers</w:t>
      </w:r>
      <w:proofErr w:type="gramEnd"/>
      <w:r>
        <w:t xml:space="preserve"> this under-representation effectively disappears once ECR status was factored into expectations around research output.</w:t>
      </w:r>
    </w:p>
    <w:p w14:paraId="66D70256" w14:textId="77777777" w:rsidR="00B87F02" w:rsidRDefault="00B87F02">
      <w:pPr>
        <w:pStyle w:val="ListParagraph"/>
        <w:numPr>
          <w:ilvl w:val="0"/>
          <w:numId w:val="75"/>
        </w:numPr>
        <w:spacing w:after="0"/>
        <w:ind w:left="1452" w:hanging="284"/>
      </w:pPr>
      <w:proofErr w:type="gramStart"/>
      <w:r>
        <w:t>part time</w:t>
      </w:r>
      <w:proofErr w:type="gramEnd"/>
      <w:r>
        <w:t xml:space="preserve"> staff were under-represented in the by person analysis, but this under-representation effectively disappears once FTE is factored into expectations around research output. </w:t>
      </w:r>
    </w:p>
    <w:p w14:paraId="2BBF7D1D" w14:textId="096DF408" w:rsidR="00083089" w:rsidRDefault="00B87F02">
      <w:pPr>
        <w:pStyle w:val="ListParagraph"/>
        <w:numPr>
          <w:ilvl w:val="0"/>
          <w:numId w:val="76"/>
        </w:numPr>
        <w:ind w:hanging="720"/>
      </w:pPr>
      <w:r w:rsidRPr="00083089">
        <w:rPr>
          <w:szCs w:val="22"/>
        </w:rPr>
        <w:t xml:space="preserve">It </w:t>
      </w:r>
      <w:r w:rsidRPr="00083089">
        <w:t xml:space="preserve">was highly gratifying to see that, at the point of submission, the selected output pool at the College level only showed areas where the mean output gap was outside the levels of statistical significance that could be explained (for example, part time staff have a lower expectation of research output, fixed term staff are usually early career and so have a lower expectation of research output). An under-representation of staff with a declared religion/belief system was a point of interest. The data analysis demonstrated that the proportion of staff declaring a religion or belief system is sufficiently </w:t>
      </w:r>
      <w:proofErr w:type="gramStart"/>
      <w:r w:rsidRPr="00083089">
        <w:t>low</w:t>
      </w:r>
      <w:proofErr w:type="gramEnd"/>
      <w:r w:rsidRPr="00083089">
        <w:t xml:space="preserve"> that this data is significantly less robust </w:t>
      </w:r>
      <w:proofErr w:type="gramStart"/>
      <w:r w:rsidRPr="00083089">
        <w:t>that</w:t>
      </w:r>
      <w:proofErr w:type="gramEnd"/>
      <w:r w:rsidRPr="00083089">
        <w:t xml:space="preserve"> the other datasets under analysis.</w:t>
      </w:r>
      <w:r w:rsidR="00267A4E">
        <w:t xml:space="preserve"> </w:t>
      </w:r>
    </w:p>
    <w:p w14:paraId="52409573" w14:textId="5DA8B1F2" w:rsidR="00B87F02" w:rsidRPr="00083089" w:rsidRDefault="00B87F02">
      <w:pPr>
        <w:pStyle w:val="ListParagraph"/>
        <w:numPr>
          <w:ilvl w:val="0"/>
          <w:numId w:val="77"/>
        </w:numPr>
        <w:ind w:hanging="720"/>
      </w:pPr>
      <w:r w:rsidRPr="00083089">
        <w:lastRenderedPageBreak/>
        <w:t xml:space="preserve">However, it was notable that in the second interim EIA, where selection panels were asked specifically to consider the question of unconscious bias in the areas of disability or ethnicity, gaps narrowed in those areas but in the final selection (where panels were not asked to think about unconscious bias in these specific areas) the gaps increased slightly but did not reach the level where statistical significance can be assumed. </w:t>
      </w:r>
    </w:p>
    <w:p w14:paraId="12B23712" w14:textId="77777777" w:rsidR="00B87F02" w:rsidRPr="00083089" w:rsidRDefault="00B87F02">
      <w:pPr>
        <w:pStyle w:val="ListParagraph"/>
        <w:numPr>
          <w:ilvl w:val="0"/>
          <w:numId w:val="78"/>
        </w:numPr>
        <w:ind w:hanging="720"/>
      </w:pPr>
      <w:r w:rsidRPr="00083089">
        <w:t xml:space="preserve">Also, whilst the College-level data about legal sex from the final selection did not raise any concerns about an over-representation of men or women, it was notable that despite the units being asked to think specifically about unconscious bias and legal sex, this did not result in any further improvement in the unit level data for all units by this measure. </w:t>
      </w:r>
    </w:p>
    <w:p w14:paraId="59F75C4B" w14:textId="22F21EAD" w:rsidR="00B87F02" w:rsidRPr="00083089" w:rsidRDefault="00B87F02">
      <w:pPr>
        <w:pStyle w:val="ListParagraph"/>
        <w:numPr>
          <w:ilvl w:val="0"/>
          <w:numId w:val="79"/>
        </w:numPr>
        <w:ind w:hanging="720"/>
      </w:pPr>
      <w:r w:rsidRPr="00083089">
        <w:t>These observations highlighted both the value and limitations of explicitly asking people making the selection to proactively think about the risk of unconscious bias for specific groups and the need for training to ensure those making the section understand how to effectively assess outputs which are at the borderline of the submission. This is particularly important because decisions on the borderline may be where panels may fall back to well-known publication metrics which often entrench inequalities.</w:t>
      </w:r>
      <w:r w:rsidR="00267A4E">
        <w:t xml:space="preserve"> </w:t>
      </w:r>
    </w:p>
    <w:p w14:paraId="019C9047" w14:textId="77777777" w:rsidR="00B87F02" w:rsidRPr="00083089" w:rsidRDefault="00B87F02">
      <w:pPr>
        <w:pStyle w:val="ListParagraph"/>
        <w:numPr>
          <w:ilvl w:val="0"/>
          <w:numId w:val="80"/>
        </w:numPr>
        <w:ind w:hanging="720"/>
      </w:pPr>
      <w:r w:rsidRPr="00083089">
        <w:t>We therefore identified two key actions from our REF 2021 EIA analysis:</w:t>
      </w:r>
    </w:p>
    <w:p w14:paraId="325183E8" w14:textId="6289BED8" w:rsidR="00B87F02" w:rsidRDefault="00B87F02">
      <w:pPr>
        <w:pStyle w:val="ListParagraph"/>
        <w:numPr>
          <w:ilvl w:val="0"/>
          <w:numId w:val="81"/>
        </w:numPr>
        <w:ind w:left="1452" w:hanging="284"/>
      </w:pPr>
      <w:r>
        <w:t xml:space="preserve">To send regular reminders about the importance of declaring personal characteristics to see if this improves our underpinning data on religion, which has improved from 46% not known at the point of the final REF 2021 EIA to 25% not known </w:t>
      </w:r>
      <w:proofErr w:type="spellStart"/>
      <w:r>
        <w:t>today.and</w:t>
      </w:r>
      <w:proofErr w:type="spellEnd"/>
    </w:p>
    <w:p w14:paraId="7C3E2A54" w14:textId="77777777" w:rsidR="00B87F02" w:rsidRDefault="00B87F02">
      <w:pPr>
        <w:pStyle w:val="ListParagraph"/>
        <w:numPr>
          <w:ilvl w:val="0"/>
          <w:numId w:val="81"/>
        </w:numPr>
        <w:ind w:left="1452" w:hanging="284"/>
      </w:pPr>
      <w:r>
        <w:t xml:space="preserve">To ensure REF specific training given by the College to those staff involved in the selection of outputs focuses on the effective assessment of outputs from an equality, diversity and inclusion perspective to support staff to make the correct decisions about outputs, especially on the borderline of the submission. </w:t>
      </w:r>
    </w:p>
    <w:p w14:paraId="3E8A1FD3" w14:textId="77777777" w:rsidR="00B87F02" w:rsidRDefault="00B87F02" w:rsidP="005072B1">
      <w:pPr>
        <w:pStyle w:val="Heading2"/>
        <w:pBdr>
          <w:top w:val="single" w:sz="4" w:space="1" w:color="auto"/>
        </w:pBdr>
        <w:rPr>
          <w:rFonts w:eastAsia="Times New Roman"/>
          <w:bCs/>
          <w:lang w:eastAsia="en-GB"/>
        </w:rPr>
      </w:pPr>
      <w:r>
        <w:rPr>
          <w:rFonts w:eastAsia="Times New Roman"/>
          <w:bCs/>
          <w:lang w:eastAsia="en-GB"/>
        </w:rPr>
        <w:t>P</w:t>
      </w:r>
      <w:proofErr w:type="spellStart"/>
      <w:r w:rsidRPr="00DF1475">
        <w:rPr>
          <w:lang w:eastAsia="en-GB"/>
        </w:rPr>
        <w:t>art</w:t>
      </w:r>
      <w:proofErr w:type="spellEnd"/>
      <w:r w:rsidRPr="00DF1475">
        <w:rPr>
          <w:lang w:eastAsia="en-GB"/>
        </w:rPr>
        <w:t xml:space="preserve"> 2: Identifying Staff Contracts with Significant Responsibility for Research (SRR)</w:t>
      </w:r>
    </w:p>
    <w:p w14:paraId="53F3B486" w14:textId="77777777" w:rsidR="00B87F02" w:rsidRDefault="00B87F02">
      <w:pPr>
        <w:spacing w:before="100" w:after="100"/>
        <w:rPr>
          <w:rFonts w:eastAsia="Times New Roman"/>
          <w:color w:val="002060"/>
          <w:sz w:val="22"/>
          <w:lang w:eastAsia="en-GB"/>
        </w:rPr>
      </w:pPr>
      <w:r>
        <w:rPr>
          <w:rFonts w:eastAsia="Times New Roman"/>
          <w:color w:val="002060"/>
          <w:sz w:val="22"/>
          <w:lang w:eastAsia="en-GB"/>
        </w:rPr>
        <w:t>If all your institution’s 'teaching and research' (ACEMPFUN 3) contracts in the HESA staff record already comprehensively identify all staff with significant responsibility for research, simply state this here. No further elaboration is needed in this section.</w:t>
      </w:r>
    </w:p>
    <w:p w14:paraId="47614E79" w14:textId="77777777" w:rsidR="00B87F02" w:rsidRDefault="00B87F02">
      <w:pPr>
        <w:pStyle w:val="ListParagraph"/>
        <w:numPr>
          <w:ilvl w:val="0"/>
          <w:numId w:val="10"/>
        </w:numPr>
        <w:spacing w:before="100" w:after="100"/>
      </w:pPr>
      <w:r>
        <w:rPr>
          <w:rFonts w:eastAsia="Times New Roman"/>
          <w:b/>
          <w:bCs/>
          <w:color w:val="002060"/>
          <w:lang w:eastAsia="en-GB"/>
        </w:rPr>
        <w:t>Policies and Procedures:</w:t>
      </w:r>
    </w:p>
    <w:p w14:paraId="7B0C50F8" w14:textId="77777777" w:rsidR="00B87F02" w:rsidRPr="00DF2F6B" w:rsidRDefault="00B87F02">
      <w:pPr>
        <w:pStyle w:val="ListParagraph"/>
        <w:numPr>
          <w:ilvl w:val="0"/>
          <w:numId w:val="82"/>
        </w:numPr>
        <w:spacing w:before="100" w:after="100"/>
        <w:ind w:left="1434" w:hanging="357"/>
        <w:rPr>
          <w:color w:val="002060"/>
        </w:rPr>
      </w:pPr>
      <w:r w:rsidRPr="00DF2F6B">
        <w:rPr>
          <w:b/>
          <w:bCs/>
          <w:color w:val="002060"/>
          <w:lang w:eastAsia="en-GB"/>
        </w:rPr>
        <w:t>Criteria for SRR</w:t>
      </w:r>
      <w:r w:rsidRPr="00DF2F6B">
        <w:rPr>
          <w:color w:val="002060"/>
          <w:lang w:eastAsia="en-GB"/>
        </w:rPr>
        <w:t>: Clearly define the criteria, based upon job role expectations, not past performance. Consider providing examples for consistent interpretation.</w:t>
      </w:r>
    </w:p>
    <w:p w14:paraId="228B3235" w14:textId="77777777" w:rsidR="00B87F02" w:rsidRPr="00DF2F6B" w:rsidRDefault="00B87F02">
      <w:pPr>
        <w:pStyle w:val="ListParagraph"/>
        <w:numPr>
          <w:ilvl w:val="0"/>
          <w:numId w:val="82"/>
        </w:numPr>
        <w:spacing w:before="100" w:after="100"/>
        <w:ind w:left="1434" w:hanging="357"/>
        <w:rPr>
          <w:color w:val="002060"/>
        </w:rPr>
      </w:pPr>
      <w:r w:rsidRPr="00DF2F6B">
        <w:rPr>
          <w:b/>
          <w:bCs/>
          <w:color w:val="002060"/>
          <w:lang w:eastAsia="en-GB"/>
        </w:rPr>
        <w:t>Decision-Making and Communication</w:t>
      </w:r>
      <w:r w:rsidRPr="00DF2F6B">
        <w:rPr>
          <w:color w:val="002060"/>
          <w:lang w:eastAsia="en-GB"/>
        </w:rPr>
        <w:t>: Describe the process, roles, and timelines.</w:t>
      </w:r>
    </w:p>
    <w:p w14:paraId="5111D553" w14:textId="77777777" w:rsidR="00B87F02" w:rsidRPr="00DF2F6B" w:rsidRDefault="00B87F02">
      <w:pPr>
        <w:pStyle w:val="ListParagraph"/>
        <w:numPr>
          <w:ilvl w:val="0"/>
          <w:numId w:val="82"/>
        </w:numPr>
        <w:spacing w:before="100" w:after="100"/>
        <w:ind w:left="1434" w:hanging="357"/>
        <w:rPr>
          <w:color w:val="002060"/>
        </w:rPr>
      </w:pPr>
      <w:r w:rsidRPr="00DF2F6B">
        <w:rPr>
          <w:b/>
          <w:bCs/>
          <w:color w:val="002060"/>
          <w:lang w:eastAsia="en-GB"/>
        </w:rPr>
        <w:t>Multiple Processes (if applicable)</w:t>
      </w:r>
      <w:r w:rsidRPr="00DF2F6B">
        <w:rPr>
          <w:color w:val="002060"/>
          <w:lang w:eastAsia="en-GB"/>
        </w:rPr>
        <w:t xml:space="preserve">: If different processes are used for different </w:t>
      </w:r>
      <w:proofErr w:type="spellStart"/>
      <w:r w:rsidRPr="00DF2F6B">
        <w:rPr>
          <w:color w:val="002060"/>
          <w:lang w:eastAsia="en-GB"/>
        </w:rPr>
        <w:t>UoAs</w:t>
      </w:r>
      <w:proofErr w:type="spellEnd"/>
      <w:r w:rsidRPr="00DF2F6B">
        <w:rPr>
          <w:color w:val="002060"/>
          <w:lang w:eastAsia="en-GB"/>
        </w:rPr>
        <w:t>, outline each and justify any differences.</w:t>
      </w:r>
    </w:p>
    <w:p w14:paraId="3431A23A" w14:textId="77777777" w:rsidR="00B87F02" w:rsidRDefault="00B87F02">
      <w:pPr>
        <w:numPr>
          <w:ilvl w:val="0"/>
          <w:numId w:val="10"/>
        </w:numPr>
        <w:spacing w:before="100" w:after="100"/>
      </w:pPr>
      <w:r>
        <w:rPr>
          <w:rFonts w:eastAsia="Times New Roman"/>
          <w:b/>
          <w:bCs/>
          <w:color w:val="002060"/>
          <w:sz w:val="22"/>
          <w:lang w:eastAsia="en-GB"/>
        </w:rPr>
        <w:t>Staff, Committees, and Training:</w:t>
      </w:r>
    </w:p>
    <w:p w14:paraId="6F295313" w14:textId="77777777" w:rsidR="00B87F02" w:rsidRPr="00534793" w:rsidRDefault="00B87F02">
      <w:pPr>
        <w:pStyle w:val="ListParagraph"/>
        <w:numPr>
          <w:ilvl w:val="0"/>
          <w:numId w:val="83"/>
        </w:numPr>
        <w:spacing w:before="100" w:after="100"/>
        <w:ind w:left="1434" w:hanging="357"/>
        <w:rPr>
          <w:color w:val="002060"/>
        </w:rPr>
      </w:pPr>
      <w:r w:rsidRPr="00534793">
        <w:rPr>
          <w:b/>
          <w:bCs/>
          <w:color w:val="002060"/>
          <w:lang w:eastAsia="en-GB"/>
        </w:rPr>
        <w:t>Roles and Responsibilities</w:t>
      </w:r>
      <w:r w:rsidRPr="00534793">
        <w:rPr>
          <w:color w:val="002060"/>
          <w:lang w:eastAsia="en-GB"/>
        </w:rPr>
        <w:t xml:space="preserve">: Define roles and responsibilities of individuals and committees, distinguishing between advisory and decision-making roles. </w:t>
      </w:r>
    </w:p>
    <w:p w14:paraId="1F64EF19" w14:textId="77777777" w:rsidR="00B87F02" w:rsidRPr="00534793" w:rsidRDefault="00B87F02">
      <w:pPr>
        <w:pStyle w:val="ListParagraph"/>
        <w:numPr>
          <w:ilvl w:val="0"/>
          <w:numId w:val="83"/>
        </w:numPr>
        <w:spacing w:before="100" w:after="100"/>
        <w:ind w:left="1434" w:hanging="357"/>
        <w:rPr>
          <w:color w:val="002060"/>
        </w:rPr>
      </w:pPr>
      <w:r w:rsidRPr="00534793">
        <w:rPr>
          <w:b/>
          <w:bCs/>
          <w:color w:val="002060"/>
          <w:lang w:eastAsia="en-GB"/>
        </w:rPr>
        <w:t>Training</w:t>
      </w:r>
      <w:r w:rsidRPr="00534793">
        <w:rPr>
          <w:color w:val="002060"/>
          <w:lang w:eastAsia="en-GB"/>
        </w:rPr>
        <w:t>: Detail training provided.</w:t>
      </w:r>
    </w:p>
    <w:p w14:paraId="7E355AD5" w14:textId="77777777" w:rsidR="00B87F02" w:rsidRPr="00534793" w:rsidRDefault="00B87F02">
      <w:pPr>
        <w:numPr>
          <w:ilvl w:val="0"/>
          <w:numId w:val="10"/>
        </w:numPr>
        <w:spacing w:before="100" w:after="100"/>
        <w:rPr>
          <w:color w:val="002060"/>
        </w:rPr>
      </w:pPr>
      <w:r w:rsidRPr="00534793">
        <w:rPr>
          <w:rFonts w:eastAsia="Times New Roman"/>
          <w:b/>
          <w:bCs/>
          <w:color w:val="002060"/>
          <w:sz w:val="22"/>
          <w:lang w:eastAsia="en-GB"/>
        </w:rPr>
        <w:t>Appeals:</w:t>
      </w:r>
    </w:p>
    <w:p w14:paraId="5FEAABE4" w14:textId="77777777" w:rsidR="00B87F02" w:rsidRPr="00534793" w:rsidRDefault="00B87F02">
      <w:pPr>
        <w:pStyle w:val="ListParagraph"/>
        <w:numPr>
          <w:ilvl w:val="0"/>
          <w:numId w:val="83"/>
        </w:numPr>
        <w:spacing w:before="100" w:after="100"/>
        <w:ind w:left="1434" w:hanging="357"/>
        <w:rPr>
          <w:color w:val="002060"/>
          <w:lang w:eastAsia="en-GB"/>
        </w:rPr>
      </w:pPr>
      <w:r w:rsidRPr="00534793">
        <w:rPr>
          <w:color w:val="002060"/>
          <w:lang w:eastAsia="en-GB"/>
        </w:rPr>
        <w:t>Clearly outline how staff can appeal decisions about SRR, with appropriate links and contact details.</w:t>
      </w:r>
    </w:p>
    <w:p w14:paraId="48D13640" w14:textId="77777777" w:rsidR="00B87F02" w:rsidRPr="00534793" w:rsidRDefault="00B87F02">
      <w:pPr>
        <w:numPr>
          <w:ilvl w:val="0"/>
          <w:numId w:val="10"/>
        </w:numPr>
        <w:spacing w:before="100" w:after="100"/>
        <w:rPr>
          <w:color w:val="002060"/>
        </w:rPr>
      </w:pPr>
      <w:r w:rsidRPr="00534793">
        <w:rPr>
          <w:rFonts w:eastAsia="Times New Roman"/>
          <w:b/>
          <w:bCs/>
          <w:color w:val="002060"/>
          <w:sz w:val="22"/>
          <w:lang w:eastAsia="en-GB"/>
        </w:rPr>
        <w:t>Equality Impact Assessment (EIA)</w:t>
      </w:r>
      <w:r w:rsidRPr="00534793">
        <w:rPr>
          <w:rFonts w:eastAsia="Times New Roman"/>
          <w:color w:val="002060"/>
          <w:sz w:val="22"/>
          <w:lang w:eastAsia="en-GB"/>
        </w:rPr>
        <w:t>:</w:t>
      </w:r>
    </w:p>
    <w:p w14:paraId="1D1B08B9" w14:textId="77777777" w:rsidR="00B87F02" w:rsidRPr="00534793" w:rsidRDefault="00B87F02">
      <w:pPr>
        <w:pStyle w:val="ListParagraph"/>
        <w:numPr>
          <w:ilvl w:val="0"/>
          <w:numId w:val="83"/>
        </w:numPr>
        <w:spacing w:before="100" w:after="100"/>
        <w:ind w:left="1434" w:hanging="357"/>
        <w:rPr>
          <w:color w:val="002060"/>
        </w:rPr>
      </w:pPr>
      <w:r w:rsidRPr="00534793">
        <w:rPr>
          <w:b/>
          <w:bCs/>
          <w:color w:val="002060"/>
          <w:lang w:eastAsia="en-GB"/>
        </w:rPr>
        <w:lastRenderedPageBreak/>
        <w:t>EIA Integration</w:t>
      </w:r>
      <w:r w:rsidRPr="00534793">
        <w:rPr>
          <w:color w:val="002060"/>
          <w:lang w:eastAsia="en-GB"/>
        </w:rPr>
        <w:t>: Demonstrate how EIA informed SRR identification and policy/procedure development. Provide information on data, findings, and actions taken.</w:t>
      </w:r>
    </w:p>
    <w:p w14:paraId="41FF383A" w14:textId="77777777" w:rsidR="00B87F02" w:rsidRDefault="00B87F02" w:rsidP="00DF2F6B">
      <w:pPr>
        <w:spacing w:before="200" w:after="240"/>
      </w:pPr>
      <w:r>
        <w:rPr>
          <w:sz w:val="22"/>
        </w:rPr>
        <w:t xml:space="preserve">Birkbeck, University of London will submit 100% of eligible contracts, recorded as </w:t>
      </w:r>
      <w:r>
        <w:rPr>
          <w:rFonts w:eastAsia="Times New Roman"/>
          <w:sz w:val="22"/>
          <w:lang w:eastAsia="en-GB"/>
        </w:rPr>
        <w:t>'teaching and research' (ACEMPFUN 3) contracts in the HESA staff record to the REF 2029 exercise. A</w:t>
      </w:r>
      <w:r>
        <w:rPr>
          <w:sz w:val="22"/>
        </w:rPr>
        <w:t>s such part 2 has not been completed.</w:t>
      </w:r>
    </w:p>
    <w:p w14:paraId="3D2B9A67" w14:textId="77777777" w:rsidR="00B87F02" w:rsidRDefault="00B87F02" w:rsidP="00DF2F6B">
      <w:pPr>
        <w:pStyle w:val="Heading2"/>
      </w:pPr>
      <w:r>
        <w:rPr>
          <w:rFonts w:eastAsia="Times New Roman"/>
          <w:lang w:eastAsia="en-GB"/>
        </w:rPr>
        <w:t>Part 3: Determining Research Independence</w:t>
      </w:r>
    </w:p>
    <w:p w14:paraId="4CCF241B" w14:textId="77777777" w:rsidR="00B87F02" w:rsidRDefault="00B87F02">
      <w:pPr>
        <w:spacing w:before="100" w:after="100"/>
      </w:pPr>
      <w:r>
        <w:rPr>
          <w:rFonts w:eastAsia="Times New Roman"/>
          <w:i/>
          <w:iCs/>
          <w:sz w:val="22"/>
          <w:lang w:eastAsia="en-GB"/>
        </w:rPr>
        <w:t>(Required for all participating institutions)</w:t>
      </w:r>
    </w:p>
    <w:p w14:paraId="41A8EC9C" w14:textId="77777777" w:rsidR="00B87F02" w:rsidRDefault="00B87F02">
      <w:pPr>
        <w:spacing w:before="100" w:after="100"/>
        <w:ind w:left="360"/>
      </w:pPr>
      <w:r>
        <w:rPr>
          <w:rFonts w:eastAsia="Times New Roman"/>
          <w:b/>
          <w:bCs/>
          <w:color w:val="002060"/>
          <w:sz w:val="22"/>
          <w:lang w:eastAsia="en-GB"/>
        </w:rPr>
        <w:t>Policies and Procedures</w:t>
      </w:r>
      <w:r>
        <w:rPr>
          <w:rFonts w:eastAsia="Times New Roman"/>
          <w:color w:val="002060"/>
          <w:sz w:val="22"/>
          <w:lang w:eastAsia="en-GB"/>
        </w:rPr>
        <w:t>:</w:t>
      </w:r>
    </w:p>
    <w:p w14:paraId="0889FD7C" w14:textId="77777777" w:rsidR="00B87F02" w:rsidRDefault="00B87F02">
      <w:pPr>
        <w:spacing w:before="100" w:after="100"/>
        <w:ind w:left="360"/>
      </w:pPr>
      <w:r>
        <w:rPr>
          <w:rFonts w:eastAsia="Times New Roman"/>
          <w:b/>
          <w:bCs/>
          <w:color w:val="002060"/>
          <w:sz w:val="22"/>
          <w:lang w:eastAsia="en-GB"/>
        </w:rPr>
        <w:t>Criteria and Evidence</w:t>
      </w:r>
      <w:r>
        <w:rPr>
          <w:rFonts w:eastAsia="Times New Roman"/>
          <w:color w:val="002060"/>
          <w:sz w:val="22"/>
          <w:lang w:eastAsia="en-GB"/>
        </w:rPr>
        <w:t xml:space="preserve">: Clearly outline criteria and evidence used to assess research independence, particularly for ‘research only’ (ACEMPFUN 2) contracts. </w:t>
      </w:r>
    </w:p>
    <w:p w14:paraId="30CE253C" w14:textId="77777777" w:rsidR="00B87F02" w:rsidRDefault="00B87F02">
      <w:pPr>
        <w:spacing w:before="100" w:after="100"/>
        <w:ind w:left="360"/>
      </w:pPr>
      <w:r>
        <w:rPr>
          <w:rFonts w:eastAsia="Times New Roman"/>
          <w:b/>
          <w:bCs/>
          <w:color w:val="002060"/>
          <w:sz w:val="22"/>
          <w:lang w:eastAsia="en-GB"/>
        </w:rPr>
        <w:t>Decision-Making and Communication</w:t>
      </w:r>
      <w:r>
        <w:rPr>
          <w:rFonts w:eastAsia="Times New Roman"/>
          <w:color w:val="002060"/>
          <w:sz w:val="22"/>
          <w:lang w:eastAsia="en-GB"/>
        </w:rPr>
        <w:t>: Describe the process, roles, and timelines.</w:t>
      </w:r>
    </w:p>
    <w:p w14:paraId="6F77488F" w14:textId="77777777" w:rsidR="00B87F02" w:rsidRDefault="00B87F02">
      <w:pPr>
        <w:spacing w:before="100" w:after="100"/>
        <w:ind w:left="360"/>
      </w:pPr>
      <w:r>
        <w:rPr>
          <w:rFonts w:eastAsia="Times New Roman"/>
          <w:b/>
          <w:bCs/>
          <w:color w:val="002060"/>
          <w:sz w:val="22"/>
          <w:lang w:eastAsia="en-GB"/>
        </w:rPr>
        <w:t>Staff, Committees, and Training:</w:t>
      </w:r>
    </w:p>
    <w:p w14:paraId="4E278704" w14:textId="77777777" w:rsidR="00B87F02" w:rsidRDefault="00B87F02">
      <w:pPr>
        <w:spacing w:before="100" w:after="100"/>
        <w:ind w:left="360"/>
      </w:pPr>
      <w:r>
        <w:rPr>
          <w:rFonts w:eastAsia="Times New Roman"/>
          <w:i/>
          <w:iCs/>
          <w:color w:val="002060"/>
          <w:sz w:val="22"/>
          <w:lang w:eastAsia="en-GB"/>
        </w:rPr>
        <w:t>If this section is the same as Part 2, please just refer to the earlier text.</w:t>
      </w:r>
    </w:p>
    <w:p w14:paraId="5D738209" w14:textId="77777777" w:rsidR="00B87F02" w:rsidRDefault="00B87F02">
      <w:pPr>
        <w:spacing w:before="100" w:after="100"/>
        <w:ind w:left="360"/>
      </w:pPr>
      <w:r>
        <w:rPr>
          <w:rFonts w:eastAsia="Times New Roman"/>
          <w:b/>
          <w:bCs/>
          <w:color w:val="002060"/>
          <w:sz w:val="22"/>
          <w:lang w:eastAsia="en-GB"/>
        </w:rPr>
        <w:t>Roles and Responsibilities</w:t>
      </w:r>
      <w:r>
        <w:rPr>
          <w:rFonts w:eastAsia="Times New Roman"/>
          <w:color w:val="002060"/>
          <w:sz w:val="22"/>
          <w:lang w:eastAsia="en-GB"/>
        </w:rPr>
        <w:t xml:space="preserve">: Define roles and responsibilities of individuals and committees, distinguishing between advisory and decision-making roles. </w:t>
      </w:r>
    </w:p>
    <w:p w14:paraId="33508E74" w14:textId="77777777" w:rsidR="00B87F02" w:rsidRDefault="00B87F02">
      <w:pPr>
        <w:spacing w:before="100" w:after="100"/>
        <w:ind w:left="360"/>
      </w:pPr>
      <w:r>
        <w:rPr>
          <w:rFonts w:eastAsia="Times New Roman"/>
          <w:b/>
          <w:bCs/>
          <w:color w:val="002060"/>
          <w:sz w:val="22"/>
          <w:lang w:eastAsia="en-GB"/>
        </w:rPr>
        <w:t>Training</w:t>
      </w:r>
      <w:r>
        <w:rPr>
          <w:rFonts w:eastAsia="Times New Roman"/>
          <w:color w:val="002060"/>
          <w:sz w:val="22"/>
          <w:lang w:eastAsia="en-GB"/>
        </w:rPr>
        <w:t>: Detail training provided.</w:t>
      </w:r>
    </w:p>
    <w:p w14:paraId="3475C34B" w14:textId="77777777" w:rsidR="00B87F02" w:rsidRPr="00534793" w:rsidRDefault="00B87F02" w:rsidP="00534793">
      <w:pPr>
        <w:spacing w:before="100" w:after="100"/>
        <w:ind w:left="357"/>
        <w:rPr>
          <w:b/>
          <w:bCs/>
          <w:color w:val="002060"/>
        </w:rPr>
      </w:pPr>
      <w:r w:rsidRPr="00534793">
        <w:rPr>
          <w:b/>
          <w:bCs/>
          <w:color w:val="002060"/>
        </w:rPr>
        <w:t>Appeals:</w:t>
      </w:r>
    </w:p>
    <w:p w14:paraId="24D1F535" w14:textId="77777777" w:rsidR="00B87F02" w:rsidRDefault="00B87F02" w:rsidP="00534793">
      <w:pPr>
        <w:pStyle w:val="ListParagraph"/>
        <w:spacing w:before="100" w:after="100"/>
        <w:ind w:left="357" w:firstLine="0"/>
        <w:rPr>
          <w:color w:val="002060"/>
        </w:rPr>
      </w:pPr>
      <w:r>
        <w:rPr>
          <w:color w:val="002060"/>
        </w:rPr>
        <w:t>Clearly outline how staff can appeal decisions about research independence, with appropriate links and contact details.</w:t>
      </w:r>
    </w:p>
    <w:p w14:paraId="25B8A761" w14:textId="77777777" w:rsidR="00B87F02" w:rsidRDefault="00B87F02">
      <w:pPr>
        <w:spacing w:before="100" w:after="100"/>
        <w:ind w:left="360"/>
      </w:pPr>
      <w:r>
        <w:rPr>
          <w:rFonts w:eastAsia="Times New Roman"/>
          <w:b/>
          <w:bCs/>
          <w:color w:val="002060"/>
          <w:sz w:val="22"/>
          <w:lang w:eastAsia="en-GB"/>
        </w:rPr>
        <w:t>Equality Impact Assessment (EIA)</w:t>
      </w:r>
      <w:r>
        <w:rPr>
          <w:rFonts w:eastAsia="Times New Roman"/>
          <w:color w:val="002060"/>
          <w:sz w:val="22"/>
          <w:lang w:eastAsia="en-GB"/>
        </w:rPr>
        <w:t>:</w:t>
      </w:r>
    </w:p>
    <w:p w14:paraId="37FA05C3" w14:textId="77777777" w:rsidR="00B87F02" w:rsidRDefault="00B87F02">
      <w:pPr>
        <w:spacing w:before="100" w:after="100"/>
        <w:ind w:left="360"/>
      </w:pPr>
      <w:r>
        <w:rPr>
          <w:rFonts w:eastAsia="Times New Roman"/>
          <w:b/>
          <w:bCs/>
          <w:color w:val="002060"/>
          <w:sz w:val="22"/>
          <w:lang w:eastAsia="en-GB"/>
        </w:rPr>
        <w:t>EIA Integration</w:t>
      </w:r>
      <w:r>
        <w:rPr>
          <w:rFonts w:eastAsia="Times New Roman"/>
          <w:color w:val="002060"/>
          <w:sz w:val="22"/>
          <w:lang w:eastAsia="en-GB"/>
        </w:rPr>
        <w:t>: Demonstrate how EIA informed research independence determination and policy/procedure development. Provide information on data, findings, and actions taken.</w:t>
      </w:r>
    </w:p>
    <w:p w14:paraId="0DBBD54C" w14:textId="77777777" w:rsidR="00B87F02" w:rsidRDefault="00B87F02" w:rsidP="00534793">
      <w:pPr>
        <w:pStyle w:val="ListParagraph"/>
      </w:pPr>
      <w:r>
        <w:t>3.1.</w:t>
      </w:r>
      <w:r>
        <w:rPr>
          <w:lang w:eastAsia="en-GB"/>
        </w:rPr>
        <w:t xml:space="preserve"> </w:t>
      </w:r>
      <w:r w:rsidRPr="00534793">
        <w:rPr>
          <w:b/>
          <w:bCs/>
          <w:lang w:eastAsia="en-GB"/>
        </w:rPr>
        <w:t>Criteria and Evidence:</w:t>
      </w:r>
      <w:r>
        <w:rPr>
          <w:lang w:eastAsia="en-GB"/>
        </w:rPr>
        <w:t xml:space="preserve"> </w:t>
      </w:r>
    </w:p>
    <w:p w14:paraId="79F274B6" w14:textId="77777777" w:rsidR="00B87F02" w:rsidRDefault="00B87F02">
      <w:pPr>
        <w:spacing w:before="100" w:after="100"/>
      </w:pPr>
      <w:r>
        <w:rPr>
          <w:rFonts w:eastAsia="Times New Roman"/>
          <w:color w:val="002060"/>
          <w:sz w:val="22"/>
          <w:lang w:eastAsia="en-GB"/>
        </w:rPr>
        <w:t>Clearly outline criteria and evidence used to assess research independence, particularly for ‘research only’ (ACEMPFUN 2) contracts. Describe the process, roles, and timelines</w:t>
      </w:r>
    </w:p>
    <w:p w14:paraId="65745B7B" w14:textId="7D234F88" w:rsidR="00B87F02" w:rsidRDefault="00B87F02">
      <w:pPr>
        <w:pStyle w:val="ListParagraph"/>
        <w:numPr>
          <w:ilvl w:val="0"/>
          <w:numId w:val="84"/>
        </w:numPr>
        <w:spacing w:after="200"/>
        <w:ind w:left="743" w:hanging="743"/>
      </w:pPr>
      <w:r>
        <w:t xml:space="preserve">The College </w:t>
      </w:r>
      <w:proofErr w:type="spellStart"/>
      <w:r>
        <w:t>recognises</w:t>
      </w:r>
      <w:proofErr w:type="spellEnd"/>
      <w:r>
        <w:t xml:space="preserve"> that for many early career researchers the transition to research independence takes time and often cannot be easily recognised as a single point in time. However, the College considers that all staff employed on a “teaching and research” contract type are de facto employed in that capacity as independent researchers.</w:t>
      </w:r>
    </w:p>
    <w:p w14:paraId="13758AC7" w14:textId="4EAF21A5" w:rsidR="00B87F02" w:rsidRDefault="00B87F02">
      <w:pPr>
        <w:pStyle w:val="ListParagraph"/>
        <w:numPr>
          <w:ilvl w:val="0"/>
          <w:numId w:val="85"/>
        </w:numPr>
        <w:spacing w:after="200"/>
        <w:ind w:left="743" w:hanging="743"/>
      </w:pPr>
      <w:r>
        <w:t xml:space="preserve">The College does not consider that all staff employed on “research only” contract types are automatically independent researchers but recognises that there are situations where a researcher attains independence whilst employed on this type of contract. </w:t>
      </w:r>
      <w:r>
        <w:rPr>
          <w:rFonts w:cs="Aptos"/>
        </w:rPr>
        <w:t xml:space="preserve">The status as an independent researcher will be determined by whether that staff member satisfies the criteria specified in the guidance provided by Research England. </w:t>
      </w:r>
    </w:p>
    <w:p w14:paraId="514BD6C9" w14:textId="2FAA9FEB" w:rsidR="00B87F02" w:rsidRDefault="00B87F02">
      <w:pPr>
        <w:pStyle w:val="ListParagraph"/>
        <w:numPr>
          <w:ilvl w:val="0"/>
          <w:numId w:val="86"/>
        </w:numPr>
        <w:spacing w:after="200"/>
        <w:ind w:left="743" w:hanging="743"/>
      </w:pPr>
      <w:r>
        <w:t xml:space="preserve">The College has 4 levels of research only contract – RES1 – RES4. </w:t>
      </w:r>
    </w:p>
    <w:p w14:paraId="5587AE94" w14:textId="3FC5C034" w:rsidR="00B87F02" w:rsidRDefault="00B87F02">
      <w:pPr>
        <w:pStyle w:val="ListParagraph"/>
        <w:numPr>
          <w:ilvl w:val="0"/>
          <w:numId w:val="87"/>
        </w:numPr>
        <w:spacing w:after="200"/>
        <w:ind w:left="743" w:hanging="743"/>
      </w:pPr>
      <w:r>
        <w:t xml:space="preserve">The RES1 contract type is normally only used for pre-doctoral research positions so the College expects that people employed on this type of contract would not normally be independent researchers. As such, this cohort will not be expected to engage further in the REF process. If anyone in receipt of the Code of Practice believes that a researcher is </w:t>
      </w:r>
      <w:r>
        <w:lastRenderedPageBreak/>
        <w:t xml:space="preserve">employed on a RES1 contract type but should be considered as an independent researcher they should contact the Director of Research in the first instance, and (once the contractual status has been confirmed) the process described below for staff on RES2, RES3 and RES4 contract types will be followed (paragraphs 3.16 – 3.18). </w:t>
      </w:r>
    </w:p>
    <w:p w14:paraId="4DAEC2F2" w14:textId="77777777" w:rsidR="00B87F02" w:rsidRDefault="00B87F02">
      <w:pPr>
        <w:pStyle w:val="ListParagraph"/>
        <w:numPr>
          <w:ilvl w:val="0"/>
          <w:numId w:val="88"/>
        </w:numPr>
        <w:spacing w:after="200"/>
        <w:ind w:left="743" w:hanging="743"/>
      </w:pPr>
      <w:r>
        <w:t>The RES2 contract type is typically used for postdoctoral research assistants and postdoctoral researchers who have won an individual fellowship. RES3 and RES4 contract types may be used either for senior researchers who we would normally expect to be independent (e.g. individuals holding senior fellowships) or for professional support staff who would not normally be expected to demonstrate research independence, such as lab managers or senior technicians.</w:t>
      </w:r>
    </w:p>
    <w:p w14:paraId="0B23B1BB" w14:textId="77777777" w:rsidR="00B87F02" w:rsidRDefault="00B87F02">
      <w:pPr>
        <w:pStyle w:val="ListParagraph"/>
        <w:numPr>
          <w:ilvl w:val="0"/>
          <w:numId w:val="89"/>
        </w:numPr>
        <w:spacing w:after="200"/>
        <w:ind w:left="743" w:hanging="743"/>
      </w:pPr>
      <w:r>
        <w:rPr>
          <w:rFonts w:cs="Aptos"/>
        </w:rPr>
        <w:t xml:space="preserve">Staff members on </w:t>
      </w:r>
      <w:r>
        <w:t xml:space="preserve">RES2, RES3 and RES4 contract types will </w:t>
      </w:r>
      <w:r>
        <w:rPr>
          <w:rFonts w:cs="Aptos"/>
        </w:rPr>
        <w:t>be considered on a case-by-case basis to assess whether they satisfy the indicators of research independence provided in the REF volume measure Guidance. These criteria are:</w:t>
      </w:r>
    </w:p>
    <w:p w14:paraId="2F35979B" w14:textId="77777777" w:rsidR="00B87F02" w:rsidRDefault="00B87F02">
      <w:pPr>
        <w:pStyle w:val="ListParagraph"/>
        <w:numPr>
          <w:ilvl w:val="0"/>
          <w:numId w:val="90"/>
        </w:numPr>
        <w:spacing w:after="120"/>
        <w:ind w:left="1446" w:hanging="357"/>
      </w:pPr>
      <w:r>
        <w:t>act as lead applicant on externally funded research projects</w:t>
      </w:r>
    </w:p>
    <w:p w14:paraId="3605EBDA" w14:textId="0257DAC6" w:rsidR="00B87F02" w:rsidRDefault="00B87F02">
      <w:pPr>
        <w:pStyle w:val="ListParagraph"/>
        <w:numPr>
          <w:ilvl w:val="0"/>
          <w:numId w:val="90"/>
        </w:numPr>
        <w:spacing w:after="120"/>
        <w:ind w:left="1446" w:hanging="357"/>
      </w:pPr>
      <w:r>
        <w:t xml:space="preserve">hold an independently won, competitively awarded fellowship requiring research independence (informed by the list of </w:t>
      </w:r>
      <w:hyperlink r:id="rId18" w:tooltip="Information on Research Fellowships Demonstrating Research Independence for Research Excellence Framework 2029 Volume Measure on the Research Excellence Framework 2029 website." w:history="1">
        <w:r>
          <w:rPr>
            <w:rStyle w:val="Hyperlink"/>
            <w:rFonts w:cs="Aptos"/>
          </w:rPr>
          <w:t>eligible fellowships</w:t>
        </w:r>
      </w:hyperlink>
      <w:r>
        <w:t xml:space="preserve"> provided by Research England)</w:t>
      </w:r>
    </w:p>
    <w:p w14:paraId="1C35DC2B" w14:textId="77777777" w:rsidR="00B87F02" w:rsidRDefault="00B87F02">
      <w:pPr>
        <w:pStyle w:val="ListParagraph"/>
        <w:numPr>
          <w:ilvl w:val="0"/>
          <w:numId w:val="90"/>
        </w:numPr>
        <w:spacing w:after="120"/>
        <w:ind w:left="1446" w:hanging="357"/>
      </w:pPr>
      <w:r>
        <w:t>lead a research group or a substantial/specialised work package.</w:t>
      </w:r>
    </w:p>
    <w:p w14:paraId="5A54CE6B" w14:textId="77777777" w:rsidR="00B87F02" w:rsidRDefault="00B87F02" w:rsidP="00CF7975">
      <w:pPr>
        <w:spacing w:before="120" w:after="120"/>
        <w:ind w:left="743"/>
        <w:rPr>
          <w:rFonts w:cs="Aptos"/>
          <w:sz w:val="22"/>
        </w:rPr>
      </w:pPr>
      <w:r>
        <w:rPr>
          <w:rFonts w:cs="Aptos"/>
          <w:sz w:val="22"/>
        </w:rPr>
        <w:t xml:space="preserve">And, where appropriate to the discipline (normally </w:t>
      </w:r>
      <w:proofErr w:type="spellStart"/>
      <w:r>
        <w:rPr>
          <w:rFonts w:cs="Aptos"/>
          <w:sz w:val="22"/>
        </w:rPr>
        <w:t>UoAs</w:t>
      </w:r>
      <w:proofErr w:type="spellEnd"/>
      <w:r>
        <w:rPr>
          <w:rFonts w:cs="Aptos"/>
          <w:sz w:val="22"/>
        </w:rPr>
        <w:t xml:space="preserve"> 13-34)</w:t>
      </w:r>
    </w:p>
    <w:p w14:paraId="7CBAC34C" w14:textId="77777777" w:rsidR="00B87F02" w:rsidRPr="00CF7975" w:rsidRDefault="00B87F02">
      <w:pPr>
        <w:pStyle w:val="ListParagraph"/>
        <w:numPr>
          <w:ilvl w:val="0"/>
          <w:numId w:val="90"/>
        </w:numPr>
        <w:spacing w:after="120"/>
        <w:ind w:left="1446" w:hanging="357"/>
      </w:pPr>
      <w:r w:rsidRPr="00CF7975">
        <w:t>being named as a co-applicant on an externally funded research grant/award</w:t>
      </w:r>
    </w:p>
    <w:p w14:paraId="23E33C2A" w14:textId="77777777" w:rsidR="00B87F02" w:rsidRPr="00CF7975" w:rsidRDefault="00B87F02">
      <w:pPr>
        <w:pStyle w:val="ListParagraph"/>
        <w:numPr>
          <w:ilvl w:val="0"/>
          <w:numId w:val="90"/>
        </w:numPr>
        <w:spacing w:after="120"/>
        <w:ind w:left="1446" w:hanging="357"/>
      </w:pPr>
      <w:r w:rsidRPr="00CF7975">
        <w:t>having significant input into the design, conduct and interpretation of the research.</w:t>
      </w:r>
    </w:p>
    <w:p w14:paraId="7B3F3483" w14:textId="48BE1CFC" w:rsidR="00B87F02" w:rsidRDefault="00B87F02">
      <w:pPr>
        <w:pStyle w:val="ListParagraph"/>
        <w:numPr>
          <w:ilvl w:val="0"/>
          <w:numId w:val="91"/>
        </w:numPr>
        <w:ind w:left="743" w:hanging="743"/>
      </w:pPr>
      <w:r>
        <w:t>Anyone on a RES2, RES3 or RES4 contract type who has secured a fellowship from the “list of Research Fellowships Demonstrating independence” provided by Research England (</w:t>
      </w:r>
      <w:hyperlink r:id="rId19" w:tooltip="Information on Research Fellowships Demonstrating Research Independence for Research Excellence Framework 2029 Volume Measure on the Research Excellence Framework 2029 website." w:history="1">
        <w:r>
          <w:rPr>
            <w:rStyle w:val="Hyperlink"/>
          </w:rPr>
          <w:t>https://2029.ref.ac.uk/publication/research-fellowships/</w:t>
        </w:r>
      </w:hyperlink>
      <w:r>
        <w:t xml:space="preserve">) will be considered to be independent by default, with the exception of those fellowships which are listed as supporting the transition to independence, where a case-by-case decision will be made as outlined below. These people will automatically be included in the College’s REF submission as independent researchers, with their volume allocated to the most appropriate </w:t>
      </w:r>
      <w:proofErr w:type="spellStart"/>
      <w:r>
        <w:t>UoA</w:t>
      </w:r>
      <w:proofErr w:type="spellEnd"/>
      <w:r>
        <w:t xml:space="preserve">. </w:t>
      </w:r>
    </w:p>
    <w:p w14:paraId="0754557B" w14:textId="61734E36" w:rsidR="00B87F02" w:rsidRDefault="00B87F02" w:rsidP="008738BA">
      <w:pPr>
        <w:spacing w:after="120"/>
        <w:ind w:left="743"/>
      </w:pPr>
      <w:proofErr w:type="gramStart"/>
      <w:r>
        <w:rPr>
          <w:sz w:val="22"/>
        </w:rPr>
        <w:t>In the event that</w:t>
      </w:r>
      <w:proofErr w:type="gramEnd"/>
      <w:r>
        <w:rPr>
          <w:sz w:val="22"/>
        </w:rPr>
        <w:t xml:space="preserve"> a REF lead or PI on a grant (or the researcher themselves) believes a researcher in this category has not demonstrated research independence, they should contact the Director of Research and follow the appeals process as described in section 3.4.</w:t>
      </w:r>
      <w:r w:rsidR="00267A4E">
        <w:rPr>
          <w:sz w:val="22"/>
        </w:rPr>
        <w:t xml:space="preserve"> </w:t>
      </w:r>
    </w:p>
    <w:p w14:paraId="033AEF83" w14:textId="77777777" w:rsidR="00B87F02" w:rsidRDefault="00B87F02">
      <w:pPr>
        <w:pStyle w:val="ListParagraph"/>
        <w:numPr>
          <w:ilvl w:val="2"/>
          <w:numId w:val="11"/>
        </w:numPr>
        <w:ind w:left="743" w:hanging="743"/>
      </w:pPr>
      <w:r>
        <w:t xml:space="preserve">For all other staff employed on a RES2, RES3 or RES4 contract type, and as part of the data collection exercise to compile the HESA staff return, HR will provide a list of colleagues with ACEMPFUN 2 coding to the Research Office who will make a judgement about whether there was evidence of independence at the point the grant was submitted, according to the criteria given above. This judgement will then be shared with the relevant REF lead and PI for the relevant grant for confirmation and/or further advice, noting that those </w:t>
      </w:r>
      <w:r>
        <w:rPr>
          <w:rFonts w:cs="Aptos"/>
        </w:rPr>
        <w:t xml:space="preserve">working within the same discipline or field are well placed to judge independence and independence may emerge after the grant has started. Once this process is complete the determinations will be shared with the Research Strategy Group for approval. </w:t>
      </w:r>
    </w:p>
    <w:p w14:paraId="1CD7A05D" w14:textId="41B4DEA3" w:rsidR="00B87F02" w:rsidRDefault="00B87F02" w:rsidP="007C06DB">
      <w:pPr>
        <w:pStyle w:val="ListParagraph"/>
        <w:numPr>
          <w:ilvl w:val="2"/>
          <w:numId w:val="92"/>
        </w:numPr>
        <w:ind w:left="743" w:hanging="317"/>
      </w:pPr>
      <w:r>
        <w:rPr>
          <w:rFonts w:cs="Aptos"/>
        </w:rPr>
        <w:t>W</w:t>
      </w:r>
      <w:r>
        <w:t xml:space="preserve">e consider Research Independence to be persistent. Once someone has been determined to be an independent researcher then this situation will not change even if their contractual </w:t>
      </w:r>
      <w:r>
        <w:lastRenderedPageBreak/>
        <w:t xml:space="preserve">relationship at Birkbeck does (for example, if an individual holds a Research Fellowship which demonstrates independence but at the end of that award is employed as a postdoctoral research assistant on a grant awarded to </w:t>
      </w:r>
      <w:proofErr w:type="gramStart"/>
      <w:r>
        <w:t>another</w:t>
      </w:r>
      <w:proofErr w:type="gramEnd"/>
      <w:r>
        <w:t xml:space="preserve"> we would still classify this individual as having attained research independence). The role of the Research Strategy Group is to ensure the guidance has been applied fairly and consistently across different </w:t>
      </w:r>
      <w:proofErr w:type="spellStart"/>
      <w:r>
        <w:t>UoAs</w:t>
      </w:r>
      <w:proofErr w:type="spellEnd"/>
      <w:r>
        <w:t xml:space="preserve"> and to </w:t>
      </w:r>
      <w:proofErr w:type="gramStart"/>
      <w:r>
        <w:t>refer back</w:t>
      </w:r>
      <w:proofErr w:type="gramEnd"/>
      <w:r>
        <w:t xml:space="preserve"> cases if there are concerns this is not the case. </w:t>
      </w:r>
    </w:p>
    <w:p w14:paraId="21E32EB1" w14:textId="260F0041" w:rsidR="00B87F02" w:rsidRDefault="00B87F02" w:rsidP="007C06DB">
      <w:pPr>
        <w:pStyle w:val="ListParagraph"/>
        <w:numPr>
          <w:ilvl w:val="2"/>
          <w:numId w:val="93"/>
        </w:numPr>
        <w:ind w:left="743" w:hanging="176"/>
      </w:pPr>
      <w:r>
        <w:t>For the avoidance of doubt, and in line with the REF guidance, “a member of staff is not deemed to have undertaken independent research purely on the basis that they are named on one or more research outputs”. This principle stands even if the individual is the sole author of the output.</w:t>
      </w:r>
      <w:r w:rsidR="00267A4E">
        <w:t xml:space="preserve"> </w:t>
      </w:r>
    </w:p>
    <w:p w14:paraId="71426661" w14:textId="77777777" w:rsidR="00B87F02" w:rsidRDefault="00B87F02">
      <w:pPr>
        <w:pStyle w:val="ListParagraph"/>
        <w:numPr>
          <w:ilvl w:val="1"/>
          <w:numId w:val="12"/>
        </w:numPr>
        <w:spacing w:before="100" w:after="100"/>
        <w:ind w:left="743" w:hanging="743"/>
      </w:pPr>
      <w:r>
        <w:rPr>
          <w:rFonts w:eastAsia="Times New Roman"/>
          <w:b/>
          <w:bCs/>
          <w:lang w:eastAsia="en-GB"/>
        </w:rPr>
        <w:t>Decision-Making and Communication</w:t>
      </w:r>
      <w:r>
        <w:rPr>
          <w:rFonts w:eastAsia="Times New Roman"/>
          <w:lang w:eastAsia="en-GB"/>
        </w:rPr>
        <w:t xml:space="preserve">: </w:t>
      </w:r>
    </w:p>
    <w:p w14:paraId="1B5E97A1" w14:textId="77777777" w:rsidR="00B87F02" w:rsidRDefault="00B87F02" w:rsidP="0090565C">
      <w:pPr>
        <w:spacing w:before="100" w:after="100"/>
        <w:ind w:left="743" w:hanging="743"/>
      </w:pPr>
      <w:r>
        <w:rPr>
          <w:rFonts w:eastAsia="Times New Roman"/>
          <w:color w:val="002060"/>
          <w:sz w:val="22"/>
          <w:lang w:eastAsia="en-GB"/>
        </w:rPr>
        <w:t>Describe the process, roles, and timelines</w:t>
      </w:r>
    </w:p>
    <w:p w14:paraId="16EBCB71" w14:textId="77777777" w:rsidR="00B87F02" w:rsidRDefault="00B87F02">
      <w:pPr>
        <w:pStyle w:val="ListParagraph"/>
        <w:numPr>
          <w:ilvl w:val="2"/>
          <w:numId w:val="12"/>
        </w:numPr>
        <w:spacing w:after="0"/>
      </w:pPr>
      <w:r>
        <w:rPr>
          <w:rFonts w:eastAsia="Times New Roman"/>
          <w:lang w:eastAsia="en-GB"/>
        </w:rPr>
        <w:t xml:space="preserve">The process described in paragraphs 3.1.6 – 3.1.8 will be followed to reach a decision. Once decisions have been approved by the Research Strategy Group, acting as the executive of the REF Working Party, </w:t>
      </w:r>
      <w:r>
        <w:rPr>
          <w:rFonts w:cs="Aptos"/>
        </w:rPr>
        <w:t>an all-staff communication (via the inside the Birkbeck community mailout) will be circulated to inform staff that they are now able to request details of their eligibility status and the reasoning behind this from the Director of Research. Staff will be able appeal the decision at this stage where there are grounds to do so – see section 3.4</w:t>
      </w:r>
      <w:r>
        <w:rPr>
          <w:rFonts w:eastAsia="Times New Roman"/>
          <w:lang w:eastAsia="en-GB"/>
        </w:rPr>
        <w:t>.</w:t>
      </w:r>
    </w:p>
    <w:p w14:paraId="62DB7642" w14:textId="77777777" w:rsidR="00B87F02" w:rsidRDefault="00B87F02">
      <w:pPr>
        <w:pStyle w:val="ListParagraph"/>
        <w:numPr>
          <w:ilvl w:val="2"/>
          <w:numId w:val="12"/>
        </w:numPr>
        <w:spacing w:before="120" w:after="0"/>
      </w:pPr>
      <w:r>
        <w:rPr>
          <w:rFonts w:cs="Aptos"/>
        </w:rPr>
        <w:t xml:space="preserve">This process will be repeated each year from Spring / Summer </w:t>
      </w:r>
      <w:proofErr w:type="gramStart"/>
      <w:r>
        <w:rPr>
          <w:rFonts w:cs="Aptos"/>
        </w:rPr>
        <w:t>in order to</w:t>
      </w:r>
      <w:proofErr w:type="gramEnd"/>
      <w:r>
        <w:rPr>
          <w:rFonts w:cs="Aptos"/>
        </w:rPr>
        <w:t xml:space="preserve"> inform the HESA </w:t>
      </w:r>
      <w:proofErr w:type="gramStart"/>
      <w:r>
        <w:rPr>
          <w:rFonts w:cs="Aptos"/>
        </w:rPr>
        <w:t>staff</w:t>
      </w:r>
      <w:proofErr w:type="gramEnd"/>
      <w:r>
        <w:rPr>
          <w:rFonts w:cs="Aptos"/>
        </w:rPr>
        <w:t xml:space="preserve"> return.</w:t>
      </w:r>
    </w:p>
    <w:p w14:paraId="1854AB8E" w14:textId="77777777" w:rsidR="00B87F02" w:rsidRDefault="00B87F02">
      <w:pPr>
        <w:pStyle w:val="ListParagraph"/>
        <w:numPr>
          <w:ilvl w:val="1"/>
          <w:numId w:val="12"/>
        </w:numPr>
        <w:spacing w:before="100" w:after="100"/>
      </w:pPr>
      <w:r>
        <w:rPr>
          <w:rFonts w:eastAsia="Times New Roman"/>
          <w:b/>
          <w:bCs/>
          <w:lang w:eastAsia="en-GB"/>
        </w:rPr>
        <w:t>Staff, Committees, and Training:</w:t>
      </w:r>
    </w:p>
    <w:p w14:paraId="03461771" w14:textId="77777777" w:rsidR="00B87F02" w:rsidRDefault="00B87F02">
      <w:pPr>
        <w:spacing w:before="100" w:after="100"/>
        <w:ind w:left="360"/>
      </w:pPr>
      <w:r>
        <w:rPr>
          <w:rFonts w:eastAsia="Times New Roman"/>
          <w:i/>
          <w:iCs/>
          <w:color w:val="002060"/>
          <w:sz w:val="22"/>
          <w:lang w:eastAsia="en-GB"/>
        </w:rPr>
        <w:t>If this section is the same as Part 2, please just refer to the earlier text.</w:t>
      </w:r>
    </w:p>
    <w:p w14:paraId="32FE0E03" w14:textId="77777777" w:rsidR="00B87F02" w:rsidRDefault="00B87F02">
      <w:pPr>
        <w:spacing w:before="100" w:after="100"/>
        <w:ind w:left="360"/>
      </w:pPr>
      <w:r>
        <w:rPr>
          <w:rFonts w:eastAsia="Times New Roman"/>
          <w:b/>
          <w:bCs/>
          <w:color w:val="002060"/>
          <w:sz w:val="22"/>
          <w:lang w:eastAsia="en-GB"/>
        </w:rPr>
        <w:t>Roles and Responsibilities</w:t>
      </w:r>
      <w:r>
        <w:rPr>
          <w:rFonts w:eastAsia="Times New Roman"/>
          <w:color w:val="002060"/>
          <w:sz w:val="22"/>
          <w:lang w:eastAsia="en-GB"/>
        </w:rPr>
        <w:t xml:space="preserve">: Define roles and responsibilities of individuals and committees, distinguishing between advisory and decision-making roles. </w:t>
      </w:r>
    </w:p>
    <w:p w14:paraId="576C5944" w14:textId="77777777" w:rsidR="00B87F02" w:rsidRDefault="00B87F02">
      <w:pPr>
        <w:spacing w:before="100" w:after="100"/>
        <w:ind w:left="360"/>
      </w:pPr>
      <w:r>
        <w:rPr>
          <w:rFonts w:eastAsia="Times New Roman"/>
          <w:b/>
          <w:bCs/>
          <w:color w:val="002060"/>
          <w:sz w:val="22"/>
          <w:lang w:eastAsia="en-GB"/>
        </w:rPr>
        <w:t>Training</w:t>
      </w:r>
      <w:r>
        <w:rPr>
          <w:rFonts w:eastAsia="Times New Roman"/>
          <w:color w:val="002060"/>
          <w:sz w:val="22"/>
          <w:lang w:eastAsia="en-GB"/>
        </w:rPr>
        <w:t>: Detail training provided.</w:t>
      </w:r>
    </w:p>
    <w:p w14:paraId="72A95DD1" w14:textId="77777777" w:rsidR="00B87F02" w:rsidRDefault="00B87F02">
      <w:pPr>
        <w:pStyle w:val="ListParagraph"/>
        <w:numPr>
          <w:ilvl w:val="2"/>
          <w:numId w:val="12"/>
        </w:numPr>
        <w:spacing w:before="100" w:after="100"/>
        <w:rPr>
          <w:rFonts w:eastAsia="Times New Roman"/>
          <w:lang w:eastAsia="en-GB"/>
        </w:rPr>
      </w:pPr>
      <w:proofErr w:type="gramStart"/>
      <w:r>
        <w:rPr>
          <w:rFonts w:eastAsia="Times New Roman"/>
          <w:lang w:eastAsia="en-GB"/>
        </w:rPr>
        <w:t>With the exception of</w:t>
      </w:r>
      <w:proofErr w:type="gramEnd"/>
      <w:r>
        <w:rPr>
          <w:rFonts w:eastAsia="Times New Roman"/>
          <w:lang w:eastAsia="en-GB"/>
        </w:rPr>
        <w:t xml:space="preserve"> specific project PIs, all staff and Committees involved in this process will have received REF specific training as described in Paragraph 1.1.3.</w:t>
      </w:r>
    </w:p>
    <w:p w14:paraId="66810C24" w14:textId="77777777" w:rsidR="00B87F02" w:rsidRDefault="00B87F02">
      <w:pPr>
        <w:pStyle w:val="ListParagraph"/>
        <w:numPr>
          <w:ilvl w:val="2"/>
          <w:numId w:val="12"/>
        </w:numPr>
        <w:spacing w:before="100" w:after="100"/>
      </w:pPr>
      <w:r>
        <w:t xml:space="preserve">As part of the routine communications with REF leads and PIs, the information given above about what constitutes independence will be shared, and the REF Leads and PIs will be able to contact the Director of Research in her capacity as the Colleges REF Manager if they have any questions about the interpretation of the criteria. </w:t>
      </w:r>
    </w:p>
    <w:p w14:paraId="7FBBAC99" w14:textId="77777777" w:rsidR="00B87F02" w:rsidRDefault="00B87F02">
      <w:pPr>
        <w:pStyle w:val="ListParagraph"/>
        <w:numPr>
          <w:ilvl w:val="2"/>
          <w:numId w:val="12"/>
        </w:numPr>
        <w:spacing w:before="100" w:after="100"/>
      </w:pPr>
      <w:r>
        <w:t xml:space="preserve">Please note, PIs will not be required to undergo the REF-specific training </w:t>
      </w:r>
      <w:proofErr w:type="gramStart"/>
      <w:r>
        <w:t>in order to</w:t>
      </w:r>
      <w:proofErr w:type="gramEnd"/>
      <w:r>
        <w:t xml:space="preserve"> undertake this advisory role. It is expected that the mandatory training in EDI (outlined in paragraph 1.1.3.18) is sufficient for this specific activity. </w:t>
      </w:r>
    </w:p>
    <w:p w14:paraId="76BF4CBB" w14:textId="77777777" w:rsidR="00B87F02" w:rsidRDefault="00B87F02">
      <w:pPr>
        <w:pStyle w:val="ListParagraph"/>
        <w:numPr>
          <w:ilvl w:val="1"/>
          <w:numId w:val="13"/>
        </w:numPr>
        <w:spacing w:before="240" w:after="0"/>
        <w:ind w:left="357" w:hanging="357"/>
      </w:pPr>
      <w:r>
        <w:rPr>
          <w:b/>
        </w:rPr>
        <w:t xml:space="preserve">Appeals </w:t>
      </w:r>
    </w:p>
    <w:p w14:paraId="23EF89C9" w14:textId="77777777" w:rsidR="00B87F02" w:rsidRDefault="00B87F02" w:rsidP="00A352DF">
      <w:pPr>
        <w:pStyle w:val="ListParagraph"/>
        <w:spacing w:after="240"/>
        <w:ind w:left="357" w:firstLine="0"/>
      </w:pPr>
      <w:r>
        <w:rPr>
          <w:bCs/>
          <w:color w:val="002060"/>
        </w:rPr>
        <w:t>Clea</w:t>
      </w:r>
      <w:r>
        <w:rPr>
          <w:color w:val="002060"/>
        </w:rPr>
        <w:t>rly outline how staff can appeal decisions about research independence, with appropriate links and contact details.</w:t>
      </w:r>
    </w:p>
    <w:p w14:paraId="1F6D02A2" w14:textId="760A5A19" w:rsidR="00B87F02" w:rsidRDefault="00B87F02">
      <w:pPr>
        <w:pStyle w:val="ListParagraph"/>
        <w:numPr>
          <w:ilvl w:val="0"/>
          <w:numId w:val="94"/>
        </w:numPr>
        <w:ind w:left="743" w:hanging="743"/>
      </w:pPr>
      <w:r>
        <w:t xml:space="preserve">The appeals process has been communicated to all staff as part of this Code of Practice and will be re-communicated to staff on relevant research only contracts when the assessment is made as part of the HESA data collection process, through the inside the Birkbeck Community mailout, as described in paragraph 3.2.1. </w:t>
      </w:r>
    </w:p>
    <w:p w14:paraId="1B7AF7C2" w14:textId="08E83CAD" w:rsidR="00B87F02" w:rsidRDefault="00B87F02">
      <w:pPr>
        <w:pStyle w:val="ListParagraph"/>
        <w:numPr>
          <w:ilvl w:val="0"/>
          <w:numId w:val="95"/>
        </w:numPr>
        <w:ind w:left="743" w:hanging="743"/>
      </w:pPr>
      <w:r>
        <w:lastRenderedPageBreak/>
        <w:t xml:space="preserve">Individuals can lodge an appeal within one </w:t>
      </w:r>
      <w:proofErr w:type="gramStart"/>
      <w:r>
        <w:t>calendar month</w:t>
      </w:r>
      <w:proofErr w:type="gramEnd"/>
      <w:r>
        <w:t xml:space="preserve"> of the communication being sent in Inside the Birkbeck Community</w:t>
      </w:r>
      <w:r>
        <w:rPr>
          <w:i/>
        </w:rPr>
        <w:t>.</w:t>
      </w:r>
      <w:r>
        <w:t xml:space="preserve"> In 2028 we will ensure that this date is set to be after the </w:t>
      </w:r>
      <w:proofErr w:type="gramStart"/>
      <w:r>
        <w:t>31</w:t>
      </w:r>
      <w:r>
        <w:rPr>
          <w:vertAlign w:val="superscript"/>
        </w:rPr>
        <w:t>st</w:t>
      </w:r>
      <w:proofErr w:type="gramEnd"/>
      <w:r>
        <w:t xml:space="preserve"> July to allow independence late in the census to be considered. This information will be included in </w:t>
      </w:r>
      <w:proofErr w:type="gramStart"/>
      <w:r>
        <w:t>the Inside</w:t>
      </w:r>
      <w:proofErr w:type="gramEnd"/>
      <w:r>
        <w:t xml:space="preserve"> the Birkbeck Community </w:t>
      </w:r>
      <w:proofErr w:type="gramStart"/>
      <w:r>
        <w:t>communication</w:t>
      </w:r>
      <w:proofErr w:type="gramEnd"/>
      <w:r>
        <w:t>.</w:t>
      </w:r>
    </w:p>
    <w:p w14:paraId="5199E147" w14:textId="336BCD61" w:rsidR="00B87F02" w:rsidRDefault="00B87F02">
      <w:pPr>
        <w:pStyle w:val="ListParagraph"/>
        <w:numPr>
          <w:ilvl w:val="0"/>
          <w:numId w:val="96"/>
        </w:numPr>
        <w:ind w:left="743" w:hanging="743"/>
      </w:pPr>
      <w:r>
        <w:t xml:space="preserve">Eligible grounds for appeal are solely that the decision failed to </w:t>
      </w:r>
      <w:proofErr w:type="gramStart"/>
      <w:r>
        <w:t>give appropriate consideration to</w:t>
      </w:r>
      <w:proofErr w:type="gramEnd"/>
      <w:r>
        <w:t xml:space="preserve"> the evidence that independence had been demonstrated. Appeals can only be lodged by the individual affected by the decision. Evidence of independence must be obtained on or before the census date (31</w:t>
      </w:r>
      <w:r>
        <w:rPr>
          <w:vertAlign w:val="superscript"/>
        </w:rPr>
        <w:t>st</w:t>
      </w:r>
      <w:r>
        <w:t xml:space="preserve"> July 2028) </w:t>
      </w:r>
      <w:proofErr w:type="gramStart"/>
      <w:r>
        <w:t>in order to</w:t>
      </w:r>
      <w:proofErr w:type="gramEnd"/>
      <w:r>
        <w:t xml:space="preserve"> be valid for this REF exercise, and evidence of independence achieved on or after 1</w:t>
      </w:r>
      <w:r>
        <w:rPr>
          <w:vertAlign w:val="superscript"/>
        </w:rPr>
        <w:t>st</w:t>
      </w:r>
      <w:r>
        <w:t xml:space="preserve"> August 2028 is evidence of independence for the next REF exercise. The final date for appealing </w:t>
      </w:r>
      <w:proofErr w:type="gramStart"/>
      <w:r>
        <w:t>whether or not</w:t>
      </w:r>
      <w:proofErr w:type="gramEnd"/>
      <w:r>
        <w:t xml:space="preserve"> an individual has attained research independence will be set to be after the </w:t>
      </w:r>
      <w:proofErr w:type="gramStart"/>
      <w:r>
        <w:t>31</w:t>
      </w:r>
      <w:r>
        <w:rPr>
          <w:vertAlign w:val="superscript"/>
        </w:rPr>
        <w:t>st</w:t>
      </w:r>
      <w:proofErr w:type="gramEnd"/>
      <w:r>
        <w:t xml:space="preserve"> July census date meaning it should be possible for all cases of independence to be correctly identified. </w:t>
      </w:r>
    </w:p>
    <w:p w14:paraId="7BE7E1FC" w14:textId="311CBDB5" w:rsidR="00B87F02" w:rsidRDefault="00B87F02">
      <w:pPr>
        <w:pStyle w:val="ListParagraph"/>
        <w:numPr>
          <w:ilvl w:val="0"/>
          <w:numId w:val="97"/>
        </w:numPr>
        <w:ind w:left="743" w:hanging="743"/>
      </w:pPr>
      <w:r>
        <w:t xml:space="preserve">The appeals panel will comprise a REF Lead from a different </w:t>
      </w:r>
      <w:proofErr w:type="spellStart"/>
      <w:r>
        <w:t>UoA</w:t>
      </w:r>
      <w:proofErr w:type="spellEnd"/>
      <w:r>
        <w:t xml:space="preserve"> and Faculty (Chair), a</w:t>
      </w:r>
      <w:r>
        <w:rPr>
          <w:rFonts w:cs="Aptos"/>
          <w:color w:val="000000"/>
        </w:rPr>
        <w:t xml:space="preserve"> senior academic from a cognate discipline, and a member of the Equality, Diversity and Inclusion Committee. The panel will be serviced by a member of the central REF team who has a comprehensive understanding of the REF2029 criteria. </w:t>
      </w:r>
      <w:r>
        <w:t xml:space="preserve">The appeal panel’s decision is final. </w:t>
      </w:r>
      <w:r>
        <w:rPr>
          <w:rFonts w:cs="Aptos"/>
          <w:color w:val="000000"/>
        </w:rPr>
        <w:t>The panel will only be formed and convened on receipt of an appeal, and the REF specific training will be delivered at the start of the panel meeting if required.</w:t>
      </w:r>
    </w:p>
    <w:p w14:paraId="5E239E38" w14:textId="3DC927EC" w:rsidR="00B87F02" w:rsidRDefault="00B87F02">
      <w:pPr>
        <w:pStyle w:val="ListParagraph"/>
        <w:numPr>
          <w:ilvl w:val="0"/>
          <w:numId w:val="98"/>
        </w:numPr>
        <w:ind w:left="743" w:hanging="743"/>
      </w:pPr>
      <w:r>
        <w:t>The outcome of the appeal with be communicated to the individual who lodged the appeal at their bbk.ac.uk email address, copied to the Director of Research, the DVC Research (as Chair of the REF Working Party), the relevant REF lead, and the HESA staff return contact in HR (to ensure that inaccuracies are flagged and any necessary corrections can be made to the staff record).</w:t>
      </w:r>
    </w:p>
    <w:p w14:paraId="1779C12F" w14:textId="614426FB" w:rsidR="00B87F02" w:rsidRDefault="00B87F02">
      <w:pPr>
        <w:pStyle w:val="ListParagraph"/>
        <w:numPr>
          <w:ilvl w:val="0"/>
          <w:numId w:val="99"/>
        </w:numPr>
        <w:ind w:left="743" w:hanging="743"/>
      </w:pPr>
      <w:r>
        <w:rPr>
          <w:rFonts w:cs="Aptos"/>
          <w:color w:val="000000"/>
        </w:rPr>
        <w:t>It should be noted that in REF2021 we followed a similar process, including an appeals process, and no appeals were raised.</w:t>
      </w:r>
    </w:p>
    <w:p w14:paraId="34F4DEB3" w14:textId="4F652E0C" w:rsidR="00B87F02" w:rsidRDefault="00B87F02">
      <w:pPr>
        <w:pStyle w:val="ListParagraph"/>
        <w:numPr>
          <w:ilvl w:val="1"/>
          <w:numId w:val="100"/>
        </w:numPr>
        <w:ind w:left="0" w:firstLine="0"/>
      </w:pPr>
      <w:r w:rsidRPr="001A090A">
        <w:rPr>
          <w:b/>
          <w:bCs/>
          <w:color w:val="000000" w:themeColor="text1"/>
          <w:lang w:eastAsia="en-GB"/>
        </w:rPr>
        <w:t>Equality Impact Assessment (EIA):</w:t>
      </w:r>
    </w:p>
    <w:p w14:paraId="31103C77" w14:textId="77777777" w:rsidR="00B87F02" w:rsidRDefault="00B87F02">
      <w:pPr>
        <w:spacing w:before="100" w:after="100"/>
        <w:ind w:left="360"/>
      </w:pPr>
      <w:r>
        <w:rPr>
          <w:rFonts w:eastAsia="Times New Roman"/>
          <w:b/>
          <w:bCs/>
          <w:color w:val="002060"/>
          <w:sz w:val="22"/>
          <w:lang w:eastAsia="en-GB"/>
        </w:rPr>
        <w:t>EIA Integration</w:t>
      </w:r>
      <w:r>
        <w:rPr>
          <w:rFonts w:eastAsia="Times New Roman"/>
          <w:color w:val="002060"/>
          <w:sz w:val="22"/>
          <w:lang w:eastAsia="en-GB"/>
        </w:rPr>
        <w:t>: Demonstrate how EIA informed research independence determination and policy/procedure development. Provide information on data, findings, and actions taken.</w:t>
      </w:r>
    </w:p>
    <w:p w14:paraId="56EC66FD" w14:textId="13672330" w:rsidR="00B87F02" w:rsidRDefault="00B87F02">
      <w:pPr>
        <w:pStyle w:val="ListParagraph"/>
        <w:numPr>
          <w:ilvl w:val="0"/>
          <w:numId w:val="101"/>
        </w:numPr>
        <w:ind w:left="743" w:hanging="743"/>
      </w:pPr>
      <w:r>
        <w:rPr>
          <w:lang w:eastAsia="en-GB"/>
        </w:rPr>
        <w:t>Once all contracts have been allocated for the HESA 2025/26 and 26/27 data collection exercises, an EIA will be undertaken to ensure our independent researchers appropriately reflect the demographics of their home School</w:t>
      </w:r>
      <w:r>
        <w:t>. This EIA will be reviewed by the REF Equality, Diversity and Inclusion Committee and in the event any significant anomalies are identified the Committee will be asked to consider if any interventions are required, and if so what the nature of those interventions should be.</w:t>
      </w:r>
    </w:p>
    <w:p w14:paraId="6DD911BD" w14:textId="77777777" w:rsidR="00B87F02" w:rsidRDefault="00B87F02" w:rsidP="007E7AEC">
      <w:pPr>
        <w:pStyle w:val="Heading2"/>
      </w:pPr>
      <w:r>
        <w:rPr>
          <w:rFonts w:eastAsia="Times New Roman"/>
          <w:lang w:eastAsia="en-GB"/>
        </w:rPr>
        <w:t xml:space="preserve">Part 4: Allocating Contracts to </w:t>
      </w:r>
      <w:proofErr w:type="spellStart"/>
      <w:r>
        <w:rPr>
          <w:rFonts w:eastAsia="Times New Roman"/>
          <w:lang w:eastAsia="en-GB"/>
        </w:rPr>
        <w:t>UoAs</w:t>
      </w:r>
      <w:proofErr w:type="spellEnd"/>
    </w:p>
    <w:p w14:paraId="3B8A839C" w14:textId="77777777" w:rsidR="00B87F02" w:rsidRDefault="00B87F02">
      <w:pPr>
        <w:spacing w:before="100" w:after="100"/>
      </w:pPr>
      <w:r>
        <w:rPr>
          <w:rFonts w:eastAsia="Times New Roman"/>
          <w:i/>
          <w:iCs/>
          <w:sz w:val="22"/>
          <w:lang w:eastAsia="en-GB"/>
        </w:rPr>
        <w:t>(Required for all participating institutions)</w:t>
      </w:r>
    </w:p>
    <w:p w14:paraId="4BE7CC91" w14:textId="77777777" w:rsidR="00B87F02" w:rsidRDefault="00B87F02">
      <w:pPr>
        <w:spacing w:before="100" w:after="100"/>
        <w:ind w:left="360"/>
      </w:pPr>
      <w:r>
        <w:rPr>
          <w:rFonts w:eastAsia="Times New Roman"/>
          <w:b/>
          <w:bCs/>
          <w:color w:val="002060"/>
          <w:sz w:val="22"/>
          <w:lang w:eastAsia="en-GB"/>
        </w:rPr>
        <w:t>Policies and Procedures</w:t>
      </w:r>
      <w:r>
        <w:rPr>
          <w:rFonts w:eastAsia="Times New Roman"/>
          <w:color w:val="002060"/>
          <w:sz w:val="22"/>
          <w:lang w:eastAsia="en-GB"/>
        </w:rPr>
        <w:t>:</w:t>
      </w:r>
    </w:p>
    <w:p w14:paraId="169FA8CD" w14:textId="77777777" w:rsidR="00B87F02" w:rsidRDefault="00B87F02">
      <w:pPr>
        <w:spacing w:before="100" w:after="100"/>
      </w:pPr>
      <w:r>
        <w:rPr>
          <w:rFonts w:eastAsia="Times New Roman"/>
          <w:b/>
          <w:bCs/>
          <w:color w:val="002060"/>
          <w:sz w:val="22"/>
          <w:lang w:eastAsia="en-GB"/>
        </w:rPr>
        <w:t>Criteria and Evidence</w:t>
      </w:r>
      <w:r>
        <w:rPr>
          <w:rFonts w:eastAsia="Times New Roman"/>
          <w:color w:val="002060"/>
          <w:sz w:val="22"/>
          <w:lang w:eastAsia="en-GB"/>
        </w:rPr>
        <w:t xml:space="preserve">: Clearly outline criteria and evidence used to allocate contracts to </w:t>
      </w:r>
      <w:proofErr w:type="spellStart"/>
      <w:r>
        <w:rPr>
          <w:rFonts w:eastAsia="Times New Roman"/>
          <w:color w:val="002060"/>
          <w:sz w:val="22"/>
          <w:lang w:eastAsia="en-GB"/>
        </w:rPr>
        <w:t>UoAs</w:t>
      </w:r>
      <w:proofErr w:type="spellEnd"/>
      <w:r>
        <w:rPr>
          <w:rFonts w:eastAsia="Times New Roman"/>
          <w:color w:val="002060"/>
          <w:sz w:val="22"/>
          <w:lang w:eastAsia="en-GB"/>
        </w:rPr>
        <w:t xml:space="preserve"> </w:t>
      </w:r>
    </w:p>
    <w:p w14:paraId="061B76F3" w14:textId="77777777" w:rsidR="00B87F02" w:rsidRDefault="00B87F02">
      <w:pPr>
        <w:spacing w:before="100" w:after="100"/>
        <w:ind w:left="360"/>
      </w:pPr>
      <w:r>
        <w:rPr>
          <w:rFonts w:eastAsia="Times New Roman"/>
          <w:b/>
          <w:bCs/>
          <w:color w:val="002060"/>
          <w:sz w:val="22"/>
          <w:lang w:eastAsia="en-GB"/>
        </w:rPr>
        <w:t>Decision-Making and Communication</w:t>
      </w:r>
      <w:r>
        <w:rPr>
          <w:rFonts w:eastAsia="Times New Roman"/>
          <w:color w:val="002060"/>
          <w:sz w:val="22"/>
          <w:lang w:eastAsia="en-GB"/>
        </w:rPr>
        <w:t>: Describe the process, roles, and timelines.</w:t>
      </w:r>
    </w:p>
    <w:p w14:paraId="66AEFDC6" w14:textId="77777777" w:rsidR="00B87F02" w:rsidRDefault="00B87F02">
      <w:pPr>
        <w:spacing w:before="100" w:after="100"/>
      </w:pPr>
      <w:r>
        <w:rPr>
          <w:rFonts w:eastAsia="Times New Roman"/>
          <w:b/>
          <w:bCs/>
          <w:color w:val="002060"/>
          <w:sz w:val="22"/>
          <w:lang w:eastAsia="en-GB"/>
        </w:rPr>
        <w:t>Staff, Committees, and Training:</w:t>
      </w:r>
    </w:p>
    <w:p w14:paraId="624A894B" w14:textId="77777777" w:rsidR="00B87F02" w:rsidRDefault="00B87F02">
      <w:pPr>
        <w:spacing w:before="100" w:after="100"/>
        <w:ind w:left="360"/>
      </w:pPr>
      <w:r>
        <w:rPr>
          <w:rFonts w:eastAsia="Times New Roman"/>
          <w:i/>
          <w:iCs/>
          <w:color w:val="002060"/>
          <w:sz w:val="22"/>
          <w:lang w:eastAsia="en-GB"/>
        </w:rPr>
        <w:t>If this section is the same as Part 2, please just refer to the earlier text.</w:t>
      </w:r>
    </w:p>
    <w:p w14:paraId="6081DF75" w14:textId="77777777" w:rsidR="00B87F02" w:rsidRDefault="00B87F02">
      <w:pPr>
        <w:spacing w:before="100" w:after="100"/>
        <w:ind w:left="360"/>
      </w:pPr>
      <w:r>
        <w:rPr>
          <w:rFonts w:eastAsia="Times New Roman"/>
          <w:b/>
          <w:bCs/>
          <w:color w:val="002060"/>
          <w:sz w:val="22"/>
          <w:lang w:eastAsia="en-GB"/>
        </w:rPr>
        <w:lastRenderedPageBreak/>
        <w:t>Roles and Responsibilities</w:t>
      </w:r>
      <w:r>
        <w:rPr>
          <w:rFonts w:eastAsia="Times New Roman"/>
          <w:color w:val="002060"/>
          <w:sz w:val="22"/>
          <w:lang w:eastAsia="en-GB"/>
        </w:rPr>
        <w:t xml:space="preserve">: Define roles and responsibilities of individuals and committees, distinguishing between advisory and decision-making roles. </w:t>
      </w:r>
    </w:p>
    <w:p w14:paraId="716663D7" w14:textId="77777777" w:rsidR="00B87F02" w:rsidRDefault="00B87F02">
      <w:pPr>
        <w:spacing w:before="100" w:after="100"/>
        <w:ind w:left="360"/>
      </w:pPr>
      <w:r>
        <w:rPr>
          <w:rFonts w:eastAsia="Times New Roman"/>
          <w:b/>
          <w:bCs/>
          <w:color w:val="002060"/>
          <w:sz w:val="22"/>
          <w:lang w:eastAsia="en-GB"/>
        </w:rPr>
        <w:t>Training</w:t>
      </w:r>
      <w:r>
        <w:rPr>
          <w:rFonts w:eastAsia="Times New Roman"/>
          <w:color w:val="002060"/>
          <w:sz w:val="22"/>
          <w:lang w:eastAsia="en-GB"/>
        </w:rPr>
        <w:t>: Detail training provided.</w:t>
      </w:r>
    </w:p>
    <w:p w14:paraId="0011353B" w14:textId="77777777" w:rsidR="00B87F02" w:rsidRDefault="00B87F02">
      <w:pPr>
        <w:spacing w:before="100" w:after="100"/>
        <w:ind w:left="360"/>
      </w:pPr>
      <w:r>
        <w:rPr>
          <w:rFonts w:eastAsia="Times New Roman"/>
          <w:b/>
          <w:bCs/>
          <w:color w:val="002060"/>
          <w:sz w:val="22"/>
          <w:lang w:eastAsia="en-GB"/>
        </w:rPr>
        <w:t>Equality Impact Assessment (EIA)</w:t>
      </w:r>
      <w:r>
        <w:rPr>
          <w:rFonts w:eastAsia="Times New Roman"/>
          <w:color w:val="002060"/>
          <w:sz w:val="22"/>
          <w:lang w:eastAsia="en-GB"/>
        </w:rPr>
        <w:t>:</w:t>
      </w:r>
    </w:p>
    <w:p w14:paraId="2F33D14E" w14:textId="77777777" w:rsidR="00B87F02" w:rsidRDefault="00B87F02" w:rsidP="00B453B3">
      <w:pPr>
        <w:spacing w:before="100" w:after="240"/>
      </w:pPr>
      <w:r>
        <w:rPr>
          <w:rFonts w:eastAsia="Times New Roman"/>
          <w:b/>
          <w:bCs/>
          <w:color w:val="002060"/>
          <w:sz w:val="22"/>
          <w:lang w:eastAsia="en-GB"/>
        </w:rPr>
        <w:t>EIA Integration</w:t>
      </w:r>
      <w:r>
        <w:rPr>
          <w:rFonts w:eastAsia="Times New Roman"/>
          <w:color w:val="002060"/>
          <w:sz w:val="22"/>
          <w:lang w:eastAsia="en-GB"/>
        </w:rPr>
        <w:t xml:space="preserve">: Demonstrate how EIA informed allocation of contracts to </w:t>
      </w:r>
      <w:proofErr w:type="spellStart"/>
      <w:r>
        <w:rPr>
          <w:rFonts w:eastAsia="Times New Roman"/>
          <w:color w:val="002060"/>
          <w:sz w:val="22"/>
          <w:lang w:eastAsia="en-GB"/>
        </w:rPr>
        <w:t>UoAs</w:t>
      </w:r>
      <w:proofErr w:type="spellEnd"/>
      <w:r>
        <w:rPr>
          <w:rFonts w:eastAsia="Times New Roman"/>
          <w:color w:val="002060"/>
          <w:sz w:val="22"/>
          <w:lang w:eastAsia="en-GB"/>
        </w:rPr>
        <w:t xml:space="preserve"> and policy/procedure development. Provide information on data, findings, and actions taken</w:t>
      </w:r>
      <w:r>
        <w:rPr>
          <w:rFonts w:eastAsia="Times New Roman"/>
          <w:sz w:val="22"/>
          <w:lang w:eastAsia="en-GB"/>
        </w:rPr>
        <w:t>.</w:t>
      </w:r>
    </w:p>
    <w:p w14:paraId="56AF8194" w14:textId="77777777" w:rsidR="00B87F02" w:rsidRDefault="00B87F02">
      <w:pPr>
        <w:pStyle w:val="ListParagraph"/>
        <w:numPr>
          <w:ilvl w:val="1"/>
          <w:numId w:val="14"/>
        </w:numPr>
        <w:spacing w:before="100" w:after="100"/>
      </w:pPr>
      <w:r>
        <w:rPr>
          <w:rFonts w:eastAsia="Times New Roman"/>
          <w:b/>
          <w:bCs/>
          <w:lang w:eastAsia="en-GB"/>
        </w:rPr>
        <w:t>Policies and Procedures</w:t>
      </w:r>
      <w:r>
        <w:rPr>
          <w:rFonts w:eastAsia="Times New Roman"/>
          <w:lang w:eastAsia="en-GB"/>
        </w:rPr>
        <w:t>:</w:t>
      </w:r>
    </w:p>
    <w:p w14:paraId="260AF64A" w14:textId="77777777" w:rsidR="00B87F02" w:rsidRDefault="00B87F02">
      <w:pPr>
        <w:spacing w:before="100" w:after="100"/>
        <w:ind w:left="360"/>
      </w:pPr>
      <w:r>
        <w:rPr>
          <w:rFonts w:eastAsia="Times New Roman"/>
          <w:b/>
          <w:bCs/>
          <w:color w:val="002060"/>
          <w:sz w:val="22"/>
          <w:lang w:eastAsia="en-GB"/>
        </w:rPr>
        <w:t>Criteria and Evidence</w:t>
      </w:r>
      <w:r>
        <w:rPr>
          <w:rFonts w:eastAsia="Times New Roman"/>
          <w:color w:val="002060"/>
          <w:sz w:val="22"/>
          <w:lang w:eastAsia="en-GB"/>
        </w:rPr>
        <w:t xml:space="preserve">: Clearly outline criteria and evidence used to allocate contracts to </w:t>
      </w:r>
      <w:proofErr w:type="spellStart"/>
      <w:r>
        <w:rPr>
          <w:rFonts w:eastAsia="Times New Roman"/>
          <w:color w:val="002060"/>
          <w:sz w:val="22"/>
          <w:lang w:eastAsia="en-GB"/>
        </w:rPr>
        <w:t>UoAs</w:t>
      </w:r>
      <w:proofErr w:type="spellEnd"/>
      <w:r>
        <w:rPr>
          <w:rFonts w:eastAsia="Times New Roman"/>
          <w:color w:val="002060"/>
          <w:sz w:val="22"/>
          <w:lang w:eastAsia="en-GB"/>
        </w:rPr>
        <w:t xml:space="preserve"> </w:t>
      </w:r>
    </w:p>
    <w:p w14:paraId="0D974177" w14:textId="77777777" w:rsidR="00B87F02" w:rsidRDefault="00B87F02">
      <w:pPr>
        <w:spacing w:before="100" w:after="100"/>
        <w:ind w:left="360"/>
      </w:pPr>
      <w:r>
        <w:rPr>
          <w:rFonts w:eastAsia="Times New Roman"/>
          <w:b/>
          <w:bCs/>
          <w:color w:val="002060"/>
          <w:sz w:val="22"/>
          <w:lang w:eastAsia="en-GB"/>
        </w:rPr>
        <w:t>Decision-Making and Communication</w:t>
      </w:r>
      <w:r>
        <w:rPr>
          <w:rFonts w:eastAsia="Times New Roman"/>
          <w:color w:val="002060"/>
          <w:sz w:val="22"/>
          <w:lang w:eastAsia="en-GB"/>
        </w:rPr>
        <w:t>: Describe the process, roles, and timelines.</w:t>
      </w:r>
    </w:p>
    <w:p w14:paraId="42F7062C" w14:textId="77777777" w:rsidR="00B453B3" w:rsidRDefault="00B87F02">
      <w:pPr>
        <w:pStyle w:val="ListParagraph"/>
        <w:numPr>
          <w:ilvl w:val="0"/>
          <w:numId w:val="102"/>
        </w:numPr>
        <w:spacing w:after="120"/>
        <w:ind w:left="743" w:hanging="743"/>
      </w:pPr>
      <w:r>
        <w:t xml:space="preserve">Birkbeck went through a significant institutional </w:t>
      </w:r>
      <w:proofErr w:type="gramStart"/>
      <w:r>
        <w:t>restructure</w:t>
      </w:r>
      <w:proofErr w:type="gramEnd"/>
      <w:r>
        <w:t xml:space="preserve"> in 2022/23, moving from 5 Schools and 17 Departments to 3 Faculties and 8 Schools, with a concomitant reduction in academic FTE of approximately 15%.</w:t>
      </w:r>
    </w:p>
    <w:p w14:paraId="1659D954" w14:textId="04581A56" w:rsidR="00B87F02" w:rsidRDefault="00B87F02">
      <w:pPr>
        <w:pStyle w:val="ListParagraph"/>
        <w:numPr>
          <w:ilvl w:val="0"/>
          <w:numId w:val="103"/>
        </w:numPr>
        <w:spacing w:after="120"/>
        <w:ind w:left="743" w:hanging="743"/>
      </w:pPr>
      <w:r>
        <w:t xml:space="preserve">Prior to the </w:t>
      </w:r>
      <w:proofErr w:type="gramStart"/>
      <w:r>
        <w:t>restructure</w:t>
      </w:r>
      <w:proofErr w:type="gramEnd"/>
      <w:r>
        <w:t xml:space="preserve">, each Department mapped to a specific REF </w:t>
      </w:r>
      <w:proofErr w:type="spellStart"/>
      <w:r>
        <w:t>UoA</w:t>
      </w:r>
      <w:proofErr w:type="spellEnd"/>
      <w:r>
        <w:t xml:space="preserve">, and after the </w:t>
      </w:r>
      <w:proofErr w:type="gramStart"/>
      <w:r>
        <w:t>restructure</w:t>
      </w:r>
      <w:proofErr w:type="gramEnd"/>
      <w:r>
        <w:t xml:space="preserve"> the decision was taken to continue to map </w:t>
      </w:r>
      <w:proofErr w:type="spellStart"/>
      <w:r>
        <w:t>UoAs</w:t>
      </w:r>
      <w:proofErr w:type="spellEnd"/>
      <w:r>
        <w:t xml:space="preserve"> to Schools as much as was practical, with due recognition to the boundaries of the </w:t>
      </w:r>
      <w:proofErr w:type="spellStart"/>
      <w:r>
        <w:t>UoA</w:t>
      </w:r>
      <w:proofErr w:type="spellEnd"/>
      <w:r>
        <w:t xml:space="preserve"> descriptors. </w:t>
      </w:r>
    </w:p>
    <w:p w14:paraId="0FF31A6D" w14:textId="4186EEAF" w:rsidR="00B87F02" w:rsidRDefault="00B87F02">
      <w:pPr>
        <w:pStyle w:val="ListParagraph"/>
        <w:numPr>
          <w:ilvl w:val="0"/>
          <w:numId w:val="104"/>
        </w:numPr>
        <w:spacing w:after="120"/>
        <w:ind w:left="743" w:hanging="743"/>
      </w:pPr>
      <w:r>
        <w:t xml:space="preserve">In the 2023/24 academic year, a review process was undertaken by the (then) PVC (Research), the (then) Deputy Director of Research (Strategy) and the outgoing REF leads to consider the outputs available at that point and their fit to the possible Units of Assessment. In many cases this process was </w:t>
      </w:r>
      <w:proofErr w:type="gramStart"/>
      <w:r>
        <w:t>fairly straightforward</w:t>
      </w:r>
      <w:proofErr w:type="gramEnd"/>
      <w:r>
        <w:t xml:space="preserve">, in others more complex. As the restructuring resulted in some reconfiguration of subject groupings, with small departments being merged into larger schools, this resulted </w:t>
      </w:r>
      <w:proofErr w:type="gramStart"/>
      <w:r>
        <w:t>on</w:t>
      </w:r>
      <w:proofErr w:type="gramEnd"/>
      <w:r>
        <w:t xml:space="preserve"> an overall reduction in the number of </w:t>
      </w:r>
      <w:proofErr w:type="spellStart"/>
      <w:r>
        <w:t>UoAs</w:t>
      </w:r>
      <w:proofErr w:type="spellEnd"/>
      <w:r>
        <w:t xml:space="preserve"> that the college would return to. It was recognised throughout that whilst this work would give the over-arching shape of our REF 2029 submission there may need to be some case-by-case discretion in places, for example, for new hires who cannot necessarily be mapped directly by </w:t>
      </w:r>
      <w:proofErr w:type="spellStart"/>
      <w:r>
        <w:t>role</w:t>
      </w:r>
      <w:proofErr w:type="spellEnd"/>
      <w:r>
        <w:t xml:space="preserve"> into our previous structure and/or to allow the institution to effectively manage questions of case study boundaries etc. The various approaches taken to staff consultation in determining the configuration of these </w:t>
      </w:r>
      <w:proofErr w:type="spellStart"/>
      <w:r>
        <w:t>UoAs</w:t>
      </w:r>
      <w:proofErr w:type="spellEnd"/>
      <w:r>
        <w:t xml:space="preserve"> </w:t>
      </w:r>
      <w:proofErr w:type="gramStart"/>
      <w:r>
        <w:t>is</w:t>
      </w:r>
      <w:proofErr w:type="gramEnd"/>
      <w:r>
        <w:t xml:space="preserve"> described below (4.1.7).</w:t>
      </w:r>
      <w:r w:rsidR="00267A4E">
        <w:t xml:space="preserve"> </w:t>
      </w:r>
    </w:p>
    <w:p w14:paraId="7C496FD5" w14:textId="6807C4A2" w:rsidR="00B87F02" w:rsidRDefault="00B87F02">
      <w:pPr>
        <w:pStyle w:val="ListParagraph"/>
        <w:numPr>
          <w:ilvl w:val="0"/>
          <w:numId w:val="105"/>
        </w:numPr>
        <w:spacing w:after="120"/>
        <w:ind w:left="743" w:hanging="743"/>
      </w:pPr>
      <w:r>
        <w:t xml:space="preserve">It was determined that for the Schools of Psychological Science, Natural Sciences, and Business, the approach from REF 2021 should be continued with the same contracts (or contracts relating to colleagues from the same over-arching disciplinary areas) assigned to the same </w:t>
      </w:r>
      <w:proofErr w:type="spellStart"/>
      <w:r>
        <w:t>UoAs</w:t>
      </w:r>
      <w:proofErr w:type="spellEnd"/>
      <w:r>
        <w:t xml:space="preserve"> as in REF 2021, specifically </w:t>
      </w:r>
      <w:proofErr w:type="spellStart"/>
      <w:r>
        <w:t>UoAs</w:t>
      </w:r>
      <w:proofErr w:type="spellEnd"/>
      <w:r>
        <w:t xml:space="preserve"> 4,5,7,16, and 17. </w:t>
      </w:r>
    </w:p>
    <w:p w14:paraId="28542CFA" w14:textId="77777777" w:rsidR="00B87F02" w:rsidRDefault="00B87F02">
      <w:pPr>
        <w:pStyle w:val="ListParagraph"/>
        <w:numPr>
          <w:ilvl w:val="3"/>
          <w:numId w:val="15"/>
        </w:numPr>
        <w:spacing w:after="120"/>
        <w:ind w:left="743" w:hanging="743"/>
      </w:pPr>
      <w:r>
        <w:t xml:space="preserve">In the case of </w:t>
      </w:r>
      <w:proofErr w:type="spellStart"/>
      <w:r>
        <w:t>UoA</w:t>
      </w:r>
      <w:proofErr w:type="spellEnd"/>
      <w:r>
        <w:t xml:space="preserve"> 16 this was conditional on an increase in grant income being secured over the census period, or else </w:t>
      </w:r>
      <w:proofErr w:type="spellStart"/>
      <w:r>
        <w:t>UoA</w:t>
      </w:r>
      <w:proofErr w:type="spellEnd"/>
      <w:r>
        <w:t xml:space="preserve"> 16 would be combined with </w:t>
      </w:r>
      <w:proofErr w:type="spellStart"/>
      <w:r>
        <w:t>UoA</w:t>
      </w:r>
      <w:proofErr w:type="spellEnd"/>
      <w:r>
        <w:t xml:space="preserve"> 17. </w:t>
      </w:r>
    </w:p>
    <w:p w14:paraId="404E2A31" w14:textId="77777777" w:rsidR="00B87F02" w:rsidRDefault="00B87F02">
      <w:pPr>
        <w:pStyle w:val="ListParagraph"/>
        <w:numPr>
          <w:ilvl w:val="2"/>
          <w:numId w:val="15"/>
        </w:numPr>
        <w:spacing w:after="120"/>
        <w:ind w:left="743" w:hanging="743"/>
      </w:pPr>
      <w:proofErr w:type="gramStart"/>
      <w:r>
        <w:t>Also</w:t>
      </w:r>
      <w:proofErr w:type="gramEnd"/>
      <w:r>
        <w:t xml:space="preserve"> In the case of </w:t>
      </w:r>
      <w:proofErr w:type="spellStart"/>
      <w:r>
        <w:t>UoA</w:t>
      </w:r>
      <w:proofErr w:type="spellEnd"/>
      <w:r>
        <w:t xml:space="preserve"> 16, in REF 2021 this submission had included a small number of colleagues from the Mathematical Sciences who had moved in the restructure to join our colleagues in Computer Science. It was agreed that for REF 2029 these contracts should be incorporated into the volume associated with </w:t>
      </w:r>
      <w:proofErr w:type="spellStart"/>
      <w:r>
        <w:t>UoA</w:t>
      </w:r>
      <w:proofErr w:type="spellEnd"/>
      <w:r>
        <w:t xml:space="preserve"> 11, where the research was a better overall fit to the </w:t>
      </w:r>
      <w:proofErr w:type="spellStart"/>
      <w:r>
        <w:t>UoA</w:t>
      </w:r>
      <w:proofErr w:type="spellEnd"/>
      <w:r>
        <w:t xml:space="preserve"> descriptor than it had been in </w:t>
      </w:r>
      <w:proofErr w:type="spellStart"/>
      <w:r>
        <w:t>UoA</w:t>
      </w:r>
      <w:proofErr w:type="spellEnd"/>
      <w:r>
        <w:t xml:space="preserve"> 16. </w:t>
      </w:r>
    </w:p>
    <w:p w14:paraId="11B57C8F" w14:textId="45127B2F" w:rsidR="00B87F02" w:rsidRDefault="00B87F02">
      <w:pPr>
        <w:pStyle w:val="ListParagraph"/>
        <w:numPr>
          <w:ilvl w:val="0"/>
          <w:numId w:val="106"/>
        </w:numPr>
        <w:spacing w:after="120"/>
        <w:ind w:left="743" w:hanging="743"/>
      </w:pPr>
      <w:r>
        <w:t xml:space="preserve">In REF 2021 our submission to </w:t>
      </w:r>
      <w:proofErr w:type="spellStart"/>
      <w:r>
        <w:t>UoA</w:t>
      </w:r>
      <w:proofErr w:type="spellEnd"/>
      <w:r>
        <w:t xml:space="preserve"> 18 </w:t>
      </w:r>
      <w:proofErr w:type="gramStart"/>
      <w:r>
        <w:t>had comprised</w:t>
      </w:r>
      <w:proofErr w:type="gramEnd"/>
      <w:r>
        <w:t xml:space="preserve"> the subjects of both Law and Criminology. In the </w:t>
      </w:r>
      <w:proofErr w:type="gramStart"/>
      <w:r>
        <w:t>restructure</w:t>
      </w:r>
      <w:proofErr w:type="gramEnd"/>
      <w:r>
        <w:t xml:space="preserve"> Criminology moved to become part of our School of Social Science, meaning our submission to </w:t>
      </w:r>
      <w:proofErr w:type="spellStart"/>
      <w:r>
        <w:t>UoA</w:t>
      </w:r>
      <w:proofErr w:type="spellEnd"/>
      <w:r>
        <w:t xml:space="preserve"> 18 now represents a smaller subset of colleagues in the Law School. </w:t>
      </w:r>
    </w:p>
    <w:p w14:paraId="7A783CDB" w14:textId="375F6B13" w:rsidR="00B87F02" w:rsidRDefault="00B87F02">
      <w:pPr>
        <w:pStyle w:val="ListParagraph"/>
        <w:numPr>
          <w:ilvl w:val="0"/>
          <w:numId w:val="107"/>
        </w:numPr>
        <w:spacing w:after="120"/>
        <w:ind w:left="743" w:hanging="743"/>
      </w:pPr>
      <w:r>
        <w:lastRenderedPageBreak/>
        <w:t xml:space="preserve">For our Schools of: Social Science; Creative Arts, Culture and Communication; and Historical Studies; there were several possible configurations that could have been adopted. </w:t>
      </w:r>
    </w:p>
    <w:p w14:paraId="71C3A5A0" w14:textId="686B9D63" w:rsidR="00B87F02" w:rsidRDefault="00B87F02">
      <w:pPr>
        <w:pStyle w:val="ListParagraph"/>
        <w:numPr>
          <w:ilvl w:val="0"/>
          <w:numId w:val="108"/>
        </w:numPr>
        <w:spacing w:after="120"/>
        <w:ind w:left="743" w:hanging="743"/>
      </w:pPr>
      <w:r>
        <w:t xml:space="preserve">In our School of Social Sciences, a survey was sent to all members of the </w:t>
      </w:r>
      <w:proofErr w:type="gramStart"/>
      <w:r>
        <w:t>School</w:t>
      </w:r>
      <w:proofErr w:type="gramEnd"/>
      <w:r>
        <w:t xml:space="preserve"> asking them to identify what they felt were </w:t>
      </w:r>
      <w:proofErr w:type="gramStart"/>
      <w:r>
        <w:t>there</w:t>
      </w:r>
      <w:proofErr w:type="gramEnd"/>
      <w:r>
        <w:t xml:space="preserve"> best pieces in this census and then to identify which </w:t>
      </w:r>
      <w:proofErr w:type="spellStart"/>
      <w:r>
        <w:t>UoA</w:t>
      </w:r>
      <w:proofErr w:type="spellEnd"/>
      <w:r>
        <w:t xml:space="preserve"> descriptors the work correlated with (up to a maximum of three descriptors per piece). This work identified </w:t>
      </w:r>
      <w:proofErr w:type="spellStart"/>
      <w:r>
        <w:t>UoAs</w:t>
      </w:r>
      <w:proofErr w:type="spellEnd"/>
      <w:r>
        <w:t xml:space="preserve"> 19 and 21 as the two </w:t>
      </w:r>
      <w:proofErr w:type="spellStart"/>
      <w:r>
        <w:t>UoAs</w:t>
      </w:r>
      <w:proofErr w:type="spellEnd"/>
      <w:r>
        <w:t xml:space="preserve"> most closely aligned with the research interests in the </w:t>
      </w:r>
      <w:proofErr w:type="gramStart"/>
      <w:r>
        <w:t>School</w:t>
      </w:r>
      <w:proofErr w:type="gramEnd"/>
      <w:r>
        <w:t xml:space="preserve"> and, at a high level, possible configurations. Detailed discussions were then held within the </w:t>
      </w:r>
      <w:proofErr w:type="gramStart"/>
      <w:r>
        <w:t>School</w:t>
      </w:r>
      <w:proofErr w:type="gramEnd"/>
      <w:r>
        <w:t xml:space="preserve"> to identify a role-based configuration all colleagues were comfortable with, where colleagues from our former areas of Politics and International Development (a distinct sub-discipline in our previous Geography Department) would be counted towards </w:t>
      </w:r>
      <w:proofErr w:type="spellStart"/>
      <w:r>
        <w:t>UoA</w:t>
      </w:r>
      <w:proofErr w:type="spellEnd"/>
      <w:r>
        <w:t xml:space="preserve"> 19 and everyone else would be counted towards </w:t>
      </w:r>
      <w:proofErr w:type="spellStart"/>
      <w:r>
        <w:t>UoA</w:t>
      </w:r>
      <w:proofErr w:type="spellEnd"/>
      <w:r>
        <w:t xml:space="preserve"> 21. </w:t>
      </w:r>
    </w:p>
    <w:p w14:paraId="79B5E5EE" w14:textId="0CE5FFF4" w:rsidR="00B87F02" w:rsidRDefault="00B87F02">
      <w:pPr>
        <w:pStyle w:val="ListParagraph"/>
        <w:numPr>
          <w:ilvl w:val="0"/>
          <w:numId w:val="109"/>
        </w:numPr>
        <w:spacing w:after="120"/>
        <w:ind w:left="743" w:hanging="743"/>
      </w:pPr>
      <w:r>
        <w:t xml:space="preserve">Our new School of Creative Arts, Culture and Communication included colleagues from </w:t>
      </w:r>
      <w:proofErr w:type="spellStart"/>
      <w:r>
        <w:t>UoAs</w:t>
      </w:r>
      <w:proofErr w:type="spellEnd"/>
      <w:r>
        <w:t xml:space="preserve"> 26, 27 and 32 in REF 2021. We sought advice from former members of subpanels 26 and 27 who both recommended that the </w:t>
      </w:r>
      <w:proofErr w:type="gramStart"/>
      <w:r>
        <w:t>outputs</w:t>
      </w:r>
      <w:proofErr w:type="gramEnd"/>
      <w:r>
        <w:t xml:space="preserve"> we would previously have returned to </w:t>
      </w:r>
      <w:proofErr w:type="spellStart"/>
      <w:r>
        <w:t>UoA</w:t>
      </w:r>
      <w:proofErr w:type="spellEnd"/>
      <w:r>
        <w:t xml:space="preserve"> 26 were predominantly within the role descriptors for </w:t>
      </w:r>
      <w:proofErr w:type="spellStart"/>
      <w:r>
        <w:t>UoA</w:t>
      </w:r>
      <w:proofErr w:type="spellEnd"/>
      <w:r>
        <w:t xml:space="preserve"> 27, meaning that the contracts from these colleagues would now be counted to </w:t>
      </w:r>
      <w:proofErr w:type="spellStart"/>
      <w:r>
        <w:t>UoA</w:t>
      </w:r>
      <w:proofErr w:type="spellEnd"/>
      <w:r>
        <w:t xml:space="preserve"> 27. A similar process with our School of Historical Studies also showed that the </w:t>
      </w:r>
      <w:proofErr w:type="gramStart"/>
      <w:r>
        <w:t>outputs</w:t>
      </w:r>
      <w:proofErr w:type="gramEnd"/>
      <w:r>
        <w:t xml:space="preserve"> we would previously have returned to </w:t>
      </w:r>
      <w:proofErr w:type="spellStart"/>
      <w:r>
        <w:t>UoA</w:t>
      </w:r>
      <w:proofErr w:type="spellEnd"/>
      <w:r>
        <w:t xml:space="preserve"> 30 were predominantly within the role descriptors for </w:t>
      </w:r>
      <w:proofErr w:type="spellStart"/>
      <w:r>
        <w:t>UoA</w:t>
      </w:r>
      <w:proofErr w:type="spellEnd"/>
      <w:r>
        <w:t xml:space="preserve"> 28, so these contracts would be counted towards the volume for </w:t>
      </w:r>
      <w:proofErr w:type="spellStart"/>
      <w:r>
        <w:t>UoA</w:t>
      </w:r>
      <w:proofErr w:type="spellEnd"/>
      <w:r>
        <w:t xml:space="preserve"> 28. </w:t>
      </w:r>
    </w:p>
    <w:p w14:paraId="5242D093" w14:textId="66C9CE43" w:rsidR="00B87F02" w:rsidRDefault="00B87F02">
      <w:pPr>
        <w:pStyle w:val="ListParagraph"/>
        <w:numPr>
          <w:ilvl w:val="0"/>
          <w:numId w:val="110"/>
        </w:numPr>
        <w:spacing w:after="120"/>
        <w:ind w:left="743" w:hanging="743"/>
      </w:pPr>
      <w:r>
        <w:t xml:space="preserve">To ensure that both these units continue to maintain sufficient integrity with the </w:t>
      </w:r>
      <w:proofErr w:type="spellStart"/>
      <w:r>
        <w:t>UoA</w:t>
      </w:r>
      <w:proofErr w:type="spellEnd"/>
      <w:r>
        <w:t xml:space="preserve"> descriptors, this means that our submission to </w:t>
      </w:r>
      <w:proofErr w:type="spellStart"/>
      <w:r>
        <w:t>UoA</w:t>
      </w:r>
      <w:proofErr w:type="spellEnd"/>
      <w:r>
        <w:t xml:space="preserve"> 32 will continue with the same contracts (or contracts relating to colleagues from the same over-arching disciplinary areas) as in REF 2021.</w:t>
      </w:r>
    </w:p>
    <w:p w14:paraId="68486DA5" w14:textId="65FCA9E3" w:rsidR="00B87F02" w:rsidRPr="000C4663" w:rsidRDefault="00B87F02">
      <w:pPr>
        <w:pStyle w:val="ListParagraph"/>
        <w:numPr>
          <w:ilvl w:val="0"/>
          <w:numId w:val="111"/>
        </w:numPr>
        <w:spacing w:after="120"/>
        <w:ind w:left="743" w:hanging="743"/>
      </w:pPr>
      <w:proofErr w:type="gramStart"/>
      <w:r w:rsidRPr="000C4663">
        <w:t>4.1.8</w:t>
      </w:r>
      <w:r w:rsidR="00267A4E">
        <w:t xml:space="preserve"> </w:t>
      </w:r>
      <w:r w:rsidRPr="000C4663">
        <w:t xml:space="preserve"> This</w:t>
      </w:r>
      <w:proofErr w:type="gramEnd"/>
      <w:r w:rsidRPr="000C4663">
        <w:t xml:space="preserve"> process was agreed by the REF Working Party and by the Colleges University Executive Board in Term 2 23/24 and was communicated to colleagues through the REF Working Party. It should be </w:t>
      </w:r>
      <w:proofErr w:type="gramStart"/>
      <w:r w:rsidRPr="000C4663">
        <w:t>noted</w:t>
      </w:r>
      <w:proofErr w:type="gramEnd"/>
      <w:r w:rsidRPr="000C4663">
        <w:t xml:space="preserve"> however, that whilst the approach </w:t>
      </w:r>
      <w:proofErr w:type="gramStart"/>
      <w:r w:rsidRPr="000C4663">
        <w:t>for</w:t>
      </w:r>
      <w:proofErr w:type="gramEnd"/>
      <w:r w:rsidRPr="000C4663">
        <w:t xml:space="preserve"> the School of Social Sciences was agreed at this point, the work took longer to be fully </w:t>
      </w:r>
      <w:proofErr w:type="gramStart"/>
      <w:r w:rsidRPr="000C4663">
        <w:t>finalised</w:t>
      </w:r>
      <w:proofErr w:type="gramEnd"/>
      <w:r w:rsidRPr="000C4663">
        <w:t xml:space="preserve"> and this work extended into the 24/25 academic year.</w:t>
      </w:r>
    </w:p>
    <w:p w14:paraId="385E61CD" w14:textId="77777777" w:rsidR="00B87F02" w:rsidRDefault="00B87F02">
      <w:pPr>
        <w:pStyle w:val="ListParagraph"/>
        <w:numPr>
          <w:ilvl w:val="1"/>
          <w:numId w:val="15"/>
        </w:numPr>
        <w:spacing w:before="120" w:after="100"/>
        <w:ind w:left="669" w:hanging="658"/>
      </w:pPr>
      <w:r>
        <w:rPr>
          <w:rFonts w:eastAsia="Times New Roman"/>
          <w:b/>
          <w:bCs/>
          <w:lang w:eastAsia="en-GB"/>
        </w:rPr>
        <w:t>Staff, Committees, and Training; Roles and Responsibilities; Training:</w:t>
      </w:r>
    </w:p>
    <w:p w14:paraId="17DAD815" w14:textId="77777777" w:rsidR="00B87F02" w:rsidRDefault="00B87F02">
      <w:pPr>
        <w:spacing w:before="100" w:after="100"/>
        <w:ind w:left="360"/>
      </w:pPr>
      <w:r>
        <w:rPr>
          <w:rFonts w:eastAsia="Times New Roman"/>
          <w:i/>
          <w:iCs/>
          <w:color w:val="002060"/>
          <w:sz w:val="22"/>
          <w:lang w:eastAsia="en-GB"/>
        </w:rPr>
        <w:t>If this section is the same as Part 2, please just refer to the earlier text.</w:t>
      </w:r>
    </w:p>
    <w:p w14:paraId="41A0529A" w14:textId="77777777" w:rsidR="00B87F02" w:rsidRDefault="00B87F02">
      <w:pPr>
        <w:spacing w:before="100" w:after="100"/>
        <w:ind w:left="360"/>
      </w:pPr>
      <w:r>
        <w:rPr>
          <w:rFonts w:eastAsia="Times New Roman"/>
          <w:b/>
          <w:bCs/>
          <w:color w:val="002060"/>
          <w:sz w:val="22"/>
          <w:lang w:eastAsia="en-GB"/>
        </w:rPr>
        <w:t>Roles and Responsibilities</w:t>
      </w:r>
      <w:r>
        <w:rPr>
          <w:rFonts w:eastAsia="Times New Roman"/>
          <w:color w:val="002060"/>
          <w:sz w:val="22"/>
          <w:lang w:eastAsia="en-GB"/>
        </w:rPr>
        <w:t xml:space="preserve">: Define roles and responsibilities of individuals and committees, distinguishing between advisory and decision-making roles. </w:t>
      </w:r>
    </w:p>
    <w:p w14:paraId="3E8DC7E5" w14:textId="77777777" w:rsidR="00B87F02" w:rsidRDefault="00B87F02">
      <w:pPr>
        <w:spacing w:before="100" w:after="100"/>
        <w:ind w:left="360"/>
      </w:pPr>
      <w:r>
        <w:rPr>
          <w:rFonts w:eastAsia="Times New Roman"/>
          <w:b/>
          <w:bCs/>
          <w:color w:val="002060"/>
          <w:sz w:val="22"/>
          <w:lang w:eastAsia="en-GB"/>
        </w:rPr>
        <w:t>Training</w:t>
      </w:r>
      <w:r>
        <w:rPr>
          <w:rFonts w:eastAsia="Times New Roman"/>
          <w:color w:val="002060"/>
          <w:sz w:val="22"/>
          <w:lang w:eastAsia="en-GB"/>
        </w:rPr>
        <w:t>: Detail training provided.</w:t>
      </w:r>
    </w:p>
    <w:p w14:paraId="603A6FE2" w14:textId="77777777" w:rsidR="00B87F02" w:rsidRDefault="00B87F02">
      <w:pPr>
        <w:pStyle w:val="ListParagraph"/>
        <w:numPr>
          <w:ilvl w:val="2"/>
          <w:numId w:val="15"/>
        </w:numPr>
        <w:spacing w:before="100" w:after="100"/>
      </w:pPr>
      <w:r>
        <w:rPr>
          <w:rFonts w:eastAsia="Times New Roman"/>
          <w:lang w:eastAsia="en-GB"/>
        </w:rPr>
        <w:t xml:space="preserve">The staff and Committees involved are as described in paragraph 4.1.8. REF Working Party is described in 1.1.3 (which also defines the roles and responsibilities of this committee). The outgoing REF Leads who undertook this work had all received the REF specific training we mandated for all colleagues involved in REF 2021 selection decisions. </w:t>
      </w:r>
      <w:r>
        <w:t xml:space="preserve">The University Strategy Board provides steer and leadership on the management and the academic and development strategy of Birkbeck. It is responsible for advising on all matters relating to University Strategy and for making recommendations on these as appropriate to the Vice-Chancellor and to Governors for approval. Its membership comprises the VC and DVCs, PVCs, The College Secretary, the Chief Financial and Information Officers, and the Senior Strategic Advisor to the VC. </w:t>
      </w:r>
      <w:r>
        <w:rPr>
          <w:rFonts w:eastAsia="Times New Roman"/>
          <w:lang w:eastAsia="en-GB"/>
        </w:rPr>
        <w:t xml:space="preserve">Because our allocation of contracts to </w:t>
      </w:r>
      <w:proofErr w:type="spellStart"/>
      <w:r>
        <w:rPr>
          <w:rFonts w:eastAsia="Times New Roman"/>
          <w:lang w:eastAsia="en-GB"/>
        </w:rPr>
        <w:t>UoAs</w:t>
      </w:r>
      <w:proofErr w:type="spellEnd"/>
      <w:r>
        <w:rPr>
          <w:rFonts w:eastAsia="Times New Roman"/>
          <w:lang w:eastAsia="en-GB"/>
        </w:rPr>
        <w:t xml:space="preserve"> has followed a role-based approach it was not necessary to offer any bespoke REF training in this area.</w:t>
      </w:r>
    </w:p>
    <w:p w14:paraId="3CE32D2F" w14:textId="77777777" w:rsidR="00B87F02" w:rsidRDefault="00B87F02">
      <w:pPr>
        <w:pStyle w:val="ListParagraph"/>
        <w:numPr>
          <w:ilvl w:val="2"/>
          <w:numId w:val="15"/>
        </w:numPr>
        <w:spacing w:before="100" w:after="100"/>
      </w:pPr>
      <w:r>
        <w:lastRenderedPageBreak/>
        <w:t xml:space="preserve">As noted in 4.1.3, there may be cases where a case-by-case decision needs to be taken about the most appropriate </w:t>
      </w:r>
      <w:proofErr w:type="spellStart"/>
      <w:r>
        <w:t>UoA</w:t>
      </w:r>
      <w:proofErr w:type="spellEnd"/>
      <w:r>
        <w:t xml:space="preserve"> home for a specific contract. This will be managed by the Research Strategy Group on a case-by-case basis as needed. In this scenario, all members of Research Strategy Group will have received the REF specific training as detailed in paragraph 1.1.3.18-1.1.3.20.</w:t>
      </w:r>
    </w:p>
    <w:p w14:paraId="7DAE1920" w14:textId="77777777" w:rsidR="00B87F02" w:rsidRDefault="00B87F02">
      <w:pPr>
        <w:pStyle w:val="ListParagraph"/>
        <w:numPr>
          <w:ilvl w:val="1"/>
          <w:numId w:val="15"/>
        </w:numPr>
        <w:spacing w:before="240" w:after="100"/>
        <w:ind w:left="669" w:hanging="658"/>
      </w:pPr>
      <w:r>
        <w:rPr>
          <w:rFonts w:eastAsia="Times New Roman"/>
          <w:b/>
          <w:bCs/>
          <w:lang w:eastAsia="en-GB"/>
        </w:rPr>
        <w:t>EIA Integration</w:t>
      </w:r>
      <w:r>
        <w:rPr>
          <w:rFonts w:eastAsia="Times New Roman"/>
          <w:lang w:eastAsia="en-GB"/>
        </w:rPr>
        <w:t xml:space="preserve">: </w:t>
      </w:r>
    </w:p>
    <w:p w14:paraId="1B06E720" w14:textId="77777777" w:rsidR="00B87F02" w:rsidRDefault="00B87F02" w:rsidP="00AF6A98">
      <w:pPr>
        <w:spacing w:before="100" w:after="100"/>
        <w:ind w:left="357"/>
      </w:pPr>
      <w:r>
        <w:rPr>
          <w:rFonts w:eastAsia="Times New Roman"/>
          <w:color w:val="002060"/>
          <w:sz w:val="22"/>
          <w:lang w:eastAsia="en-GB"/>
        </w:rPr>
        <w:t xml:space="preserve">Demonstrate how EIA informed allocation of contracts to </w:t>
      </w:r>
      <w:proofErr w:type="spellStart"/>
      <w:r>
        <w:rPr>
          <w:rFonts w:eastAsia="Times New Roman"/>
          <w:color w:val="002060"/>
          <w:sz w:val="22"/>
          <w:lang w:eastAsia="en-GB"/>
        </w:rPr>
        <w:t>UoAs</w:t>
      </w:r>
      <w:proofErr w:type="spellEnd"/>
      <w:r>
        <w:rPr>
          <w:rFonts w:eastAsia="Times New Roman"/>
          <w:color w:val="002060"/>
          <w:sz w:val="22"/>
          <w:lang w:eastAsia="en-GB"/>
        </w:rPr>
        <w:t xml:space="preserve"> and policy/procedure development. Provide information on data, findings, and actions taken</w:t>
      </w:r>
      <w:r>
        <w:rPr>
          <w:rFonts w:eastAsia="Times New Roman"/>
          <w:sz w:val="22"/>
          <w:lang w:eastAsia="en-GB"/>
        </w:rPr>
        <w:t>.</w:t>
      </w:r>
    </w:p>
    <w:p w14:paraId="72DD6BE5" w14:textId="77777777" w:rsidR="00B87F02" w:rsidRDefault="00B87F02">
      <w:pPr>
        <w:pStyle w:val="ListParagraph"/>
        <w:numPr>
          <w:ilvl w:val="2"/>
          <w:numId w:val="15"/>
        </w:numPr>
        <w:spacing w:before="100" w:after="100"/>
      </w:pPr>
      <w:r>
        <w:t xml:space="preserve">Because most contracts have been allocated to </w:t>
      </w:r>
      <w:proofErr w:type="spellStart"/>
      <w:r>
        <w:t>UoAs</w:t>
      </w:r>
      <w:proofErr w:type="spellEnd"/>
      <w:r>
        <w:t xml:space="preserve"> using a role-based process it is not appropriate to undertake an EIA for these allocations. </w:t>
      </w:r>
    </w:p>
    <w:p w14:paraId="33813604" w14:textId="77777777" w:rsidR="00B87F02" w:rsidRDefault="00B87F02">
      <w:pPr>
        <w:pStyle w:val="ListParagraph"/>
        <w:numPr>
          <w:ilvl w:val="2"/>
          <w:numId w:val="15"/>
        </w:numPr>
        <w:spacing w:before="100" w:after="100"/>
      </w:pPr>
      <w:r>
        <w:rPr>
          <w:rFonts w:eastAsia="Times New Roman"/>
          <w:lang w:eastAsia="en-GB"/>
        </w:rPr>
        <w:t>As noted in paragraphs 4.1.3 and 4,2,2 we anticipate there may be a small number of staff where the role-based allocation may not be appropriate or may result in an allocation where a manual adjustment may be necessary. We have identified three likely scenarios where we anticipate this could occur:</w:t>
      </w:r>
    </w:p>
    <w:p w14:paraId="7F01FACF" w14:textId="77777777" w:rsidR="00B87F02" w:rsidRPr="003A64E7" w:rsidRDefault="00B87F02">
      <w:pPr>
        <w:pStyle w:val="ListParagraph"/>
        <w:numPr>
          <w:ilvl w:val="0"/>
          <w:numId w:val="16"/>
        </w:numPr>
        <w:spacing w:before="100" w:after="100"/>
        <w:ind w:left="1450"/>
      </w:pPr>
      <w:r>
        <w:rPr>
          <w:rFonts w:eastAsia="Times New Roman"/>
          <w:lang w:eastAsia="en-GB"/>
        </w:rPr>
        <w:t xml:space="preserve">the role is of a type that did not previously exist so cannot be straightforwardly mapped to our historic structure </w:t>
      </w:r>
    </w:p>
    <w:p w14:paraId="09FFE2B8" w14:textId="77777777" w:rsidR="00B87F02" w:rsidRDefault="00B87F02" w:rsidP="00FD64CD">
      <w:pPr>
        <w:pStyle w:val="ListParagraph"/>
        <w:spacing w:before="100" w:after="100"/>
        <w:ind w:left="1450" w:hanging="32"/>
      </w:pPr>
      <w:r>
        <w:rPr>
          <w:rFonts w:eastAsia="Times New Roman"/>
          <w:lang w:eastAsia="en-GB"/>
        </w:rPr>
        <w:t>and/or</w:t>
      </w:r>
    </w:p>
    <w:p w14:paraId="38A968B6" w14:textId="77777777" w:rsidR="00B87F02" w:rsidRDefault="00B87F02">
      <w:pPr>
        <w:pStyle w:val="ListParagraph"/>
        <w:numPr>
          <w:ilvl w:val="0"/>
          <w:numId w:val="16"/>
        </w:numPr>
        <w:spacing w:before="100" w:after="100"/>
        <w:ind w:left="1450"/>
      </w:pPr>
      <w:r>
        <w:rPr>
          <w:rFonts w:eastAsia="Times New Roman"/>
          <w:lang w:eastAsia="en-GB"/>
        </w:rPr>
        <w:t xml:space="preserve">the role-based mapping has resulted in an individual being placed in a </w:t>
      </w:r>
      <w:proofErr w:type="spellStart"/>
      <w:r>
        <w:rPr>
          <w:rFonts w:eastAsia="Times New Roman"/>
          <w:lang w:eastAsia="en-GB"/>
        </w:rPr>
        <w:t>UoA</w:t>
      </w:r>
      <w:proofErr w:type="spellEnd"/>
      <w:r>
        <w:rPr>
          <w:rFonts w:eastAsia="Times New Roman"/>
          <w:lang w:eastAsia="en-GB"/>
        </w:rPr>
        <w:t xml:space="preserve"> where their research interests are an outlier in terms of the </w:t>
      </w:r>
      <w:proofErr w:type="spellStart"/>
      <w:r>
        <w:rPr>
          <w:rFonts w:eastAsia="Times New Roman"/>
          <w:lang w:eastAsia="en-GB"/>
        </w:rPr>
        <w:t>UoA</w:t>
      </w:r>
      <w:proofErr w:type="spellEnd"/>
      <w:r>
        <w:rPr>
          <w:rFonts w:eastAsia="Times New Roman"/>
          <w:lang w:eastAsia="en-GB"/>
        </w:rPr>
        <w:t xml:space="preserve"> descriptor AND the College will be making a return to a different </w:t>
      </w:r>
      <w:proofErr w:type="spellStart"/>
      <w:r>
        <w:rPr>
          <w:rFonts w:eastAsia="Times New Roman"/>
          <w:lang w:eastAsia="en-GB"/>
        </w:rPr>
        <w:t>UoA</w:t>
      </w:r>
      <w:proofErr w:type="spellEnd"/>
      <w:r>
        <w:rPr>
          <w:rFonts w:eastAsia="Times New Roman"/>
          <w:lang w:eastAsia="en-GB"/>
        </w:rPr>
        <w:t xml:space="preserve"> where their research interests are more fully in line with the </w:t>
      </w:r>
      <w:proofErr w:type="spellStart"/>
      <w:r>
        <w:rPr>
          <w:rFonts w:eastAsia="Times New Roman"/>
          <w:lang w:eastAsia="en-GB"/>
        </w:rPr>
        <w:t>UoA</w:t>
      </w:r>
      <w:proofErr w:type="spellEnd"/>
      <w:r>
        <w:rPr>
          <w:rFonts w:eastAsia="Times New Roman"/>
          <w:lang w:eastAsia="en-GB"/>
        </w:rPr>
        <w:t xml:space="preserve"> descriptor</w:t>
      </w:r>
    </w:p>
    <w:p w14:paraId="5622ECFA" w14:textId="77777777" w:rsidR="00B87F02" w:rsidRDefault="00B87F02" w:rsidP="00FD64CD">
      <w:pPr>
        <w:pStyle w:val="ListParagraph"/>
        <w:spacing w:before="100" w:after="100"/>
        <w:ind w:left="1450" w:hanging="32"/>
      </w:pPr>
      <w:r>
        <w:rPr>
          <w:rFonts w:eastAsia="Times New Roman"/>
          <w:lang w:eastAsia="en-GB"/>
        </w:rPr>
        <w:t xml:space="preserve">and/or </w:t>
      </w:r>
    </w:p>
    <w:p w14:paraId="14EA0B04" w14:textId="251323AC" w:rsidR="00B87F02" w:rsidRDefault="00B87F02">
      <w:pPr>
        <w:pStyle w:val="ListParagraph"/>
        <w:numPr>
          <w:ilvl w:val="0"/>
          <w:numId w:val="16"/>
        </w:numPr>
        <w:spacing w:before="100" w:after="100"/>
        <w:ind w:left="1450"/>
      </w:pPr>
      <w:r>
        <w:rPr>
          <w:rFonts w:eastAsia="Times New Roman"/>
          <w:lang w:eastAsia="en-GB"/>
        </w:rPr>
        <w:t xml:space="preserve">where an individual’s research falls within the </w:t>
      </w:r>
      <w:proofErr w:type="spellStart"/>
      <w:r>
        <w:rPr>
          <w:rFonts w:eastAsia="Times New Roman"/>
          <w:lang w:eastAsia="en-GB"/>
        </w:rPr>
        <w:t>UoA</w:t>
      </w:r>
      <w:proofErr w:type="spellEnd"/>
      <w:r>
        <w:rPr>
          <w:rFonts w:eastAsia="Times New Roman"/>
          <w:lang w:eastAsia="en-GB"/>
        </w:rPr>
        <w:t xml:space="preserve"> descriptor for more than on </w:t>
      </w:r>
      <w:proofErr w:type="spellStart"/>
      <w:r>
        <w:rPr>
          <w:rFonts w:eastAsia="Times New Roman"/>
          <w:lang w:eastAsia="en-GB"/>
        </w:rPr>
        <w:t>UoA</w:t>
      </w:r>
      <w:proofErr w:type="spellEnd"/>
      <w:r>
        <w:rPr>
          <w:rFonts w:eastAsia="Times New Roman"/>
          <w:lang w:eastAsia="en-GB"/>
        </w:rPr>
        <w:t xml:space="preserve"> the College will be returning to and there is a need to “move” volume from one </w:t>
      </w:r>
      <w:proofErr w:type="spellStart"/>
      <w:r>
        <w:rPr>
          <w:rFonts w:eastAsia="Times New Roman"/>
          <w:lang w:eastAsia="en-GB"/>
        </w:rPr>
        <w:t>UoA</w:t>
      </w:r>
      <w:proofErr w:type="spellEnd"/>
      <w:r>
        <w:rPr>
          <w:rFonts w:eastAsia="Times New Roman"/>
          <w:lang w:eastAsia="en-GB"/>
        </w:rPr>
        <w:t xml:space="preserve"> to another </w:t>
      </w:r>
      <w:proofErr w:type="gramStart"/>
      <w:r>
        <w:rPr>
          <w:rFonts w:eastAsia="Times New Roman"/>
          <w:lang w:eastAsia="en-GB"/>
        </w:rPr>
        <w:t>in order to</w:t>
      </w:r>
      <w:proofErr w:type="gramEnd"/>
      <w:r>
        <w:rPr>
          <w:rFonts w:eastAsia="Times New Roman"/>
          <w:lang w:eastAsia="en-GB"/>
        </w:rPr>
        <w:t xml:space="preserve"> optimise other aspects of the return (such as impact case study numbers).</w:t>
      </w:r>
      <w:r w:rsidR="00267A4E">
        <w:rPr>
          <w:rFonts w:eastAsia="Times New Roman"/>
          <w:lang w:eastAsia="en-GB"/>
        </w:rPr>
        <w:t xml:space="preserve"> </w:t>
      </w:r>
    </w:p>
    <w:p w14:paraId="71B543E9" w14:textId="77777777" w:rsidR="00B87F02" w:rsidRDefault="00B87F02">
      <w:pPr>
        <w:pStyle w:val="ListParagraph"/>
        <w:numPr>
          <w:ilvl w:val="2"/>
          <w:numId w:val="15"/>
        </w:numPr>
        <w:spacing w:before="100" w:after="100"/>
      </w:pPr>
      <w:r>
        <w:rPr>
          <w:rFonts w:eastAsia="Times New Roman"/>
          <w:lang w:eastAsia="en-GB"/>
        </w:rPr>
        <w:t xml:space="preserve">Once all contracts have been allocated to a </w:t>
      </w:r>
      <w:proofErr w:type="spellStart"/>
      <w:r>
        <w:rPr>
          <w:rFonts w:eastAsia="Times New Roman"/>
          <w:lang w:eastAsia="en-GB"/>
        </w:rPr>
        <w:t>UoA</w:t>
      </w:r>
      <w:proofErr w:type="spellEnd"/>
      <w:r>
        <w:rPr>
          <w:rFonts w:eastAsia="Times New Roman"/>
          <w:lang w:eastAsia="en-GB"/>
        </w:rPr>
        <w:t xml:space="preserve"> for the HESA 2025/26 and 2026/27 data collection exercise an EIA will be undertaken focussing on those colleagues with contracts which were manually allocated to a </w:t>
      </w:r>
      <w:proofErr w:type="spellStart"/>
      <w:r>
        <w:rPr>
          <w:rFonts w:eastAsia="Times New Roman"/>
          <w:lang w:eastAsia="en-GB"/>
        </w:rPr>
        <w:t>UoA</w:t>
      </w:r>
      <w:proofErr w:type="spellEnd"/>
      <w:r>
        <w:rPr>
          <w:rFonts w:eastAsia="Times New Roman"/>
          <w:lang w:eastAsia="en-GB"/>
        </w:rPr>
        <w:t xml:space="preserve">. </w:t>
      </w:r>
      <w:r>
        <w:t xml:space="preserve">In the event this EIA identifies any significant anomalies the REF Equality Diversity and Inclusion Committee will be asked to consider if any interventions are required, and if so what the nature of those interventions should be. It should be noted that we anticipate that this will be a very small cohort and so it is unlikely that this EIA could be made public. </w:t>
      </w:r>
    </w:p>
    <w:p w14:paraId="0E51016D" w14:textId="77777777" w:rsidR="00B87F02" w:rsidRPr="00AF6A98" w:rsidRDefault="00B87F02" w:rsidP="009C5662">
      <w:pPr>
        <w:pStyle w:val="Heading2"/>
        <w:pBdr>
          <w:top w:val="single" w:sz="4" w:space="1" w:color="auto"/>
        </w:pBdr>
        <w:spacing w:before="240" w:after="120"/>
        <w:rPr>
          <w:rFonts w:eastAsia="Times New Roman"/>
          <w:color w:val="002060"/>
          <w:lang w:eastAsia="en-GB"/>
        </w:rPr>
      </w:pPr>
      <w:r w:rsidRPr="00AF6A98">
        <w:rPr>
          <w:rFonts w:eastAsia="Times New Roman"/>
          <w:color w:val="002060"/>
          <w:lang w:eastAsia="en-GB"/>
        </w:rPr>
        <w:t xml:space="preserve">Part 5: Selecting outputs </w:t>
      </w:r>
    </w:p>
    <w:p w14:paraId="1048618F" w14:textId="77777777" w:rsidR="00B87F02" w:rsidRPr="00513598" w:rsidRDefault="00B87F02">
      <w:pPr>
        <w:pStyle w:val="ListParagraph"/>
        <w:numPr>
          <w:ilvl w:val="0"/>
          <w:numId w:val="112"/>
        </w:numPr>
        <w:ind w:left="714" w:hanging="357"/>
        <w:rPr>
          <w:b/>
          <w:bCs/>
          <w:color w:val="002060"/>
        </w:rPr>
      </w:pPr>
      <w:r w:rsidRPr="00513598">
        <w:rPr>
          <w:b/>
          <w:bCs/>
          <w:color w:val="002060"/>
          <w:lang w:eastAsia="en-GB"/>
        </w:rPr>
        <w:t>Policies and Procedures:</w:t>
      </w:r>
    </w:p>
    <w:p w14:paraId="43D35954" w14:textId="77777777" w:rsidR="00B87F02" w:rsidRDefault="00B87F02">
      <w:pPr>
        <w:pStyle w:val="ListParagraph"/>
        <w:numPr>
          <w:ilvl w:val="1"/>
          <w:numId w:val="17"/>
        </w:numPr>
        <w:rPr>
          <w:rFonts w:eastAsia="Times New Roman"/>
          <w:b/>
          <w:bCs/>
          <w:color w:val="002060"/>
          <w:lang w:eastAsia="en-GB"/>
        </w:rPr>
      </w:pPr>
      <w:r>
        <w:rPr>
          <w:rFonts w:eastAsia="Times New Roman"/>
          <w:b/>
          <w:bCs/>
          <w:color w:val="002060"/>
          <w:lang w:eastAsia="en-GB"/>
        </w:rPr>
        <w:t>Identifying substantive link to outputs</w:t>
      </w:r>
    </w:p>
    <w:p w14:paraId="1E16D611" w14:textId="77777777" w:rsidR="00B87F02" w:rsidRDefault="00B87F02">
      <w:pPr>
        <w:pStyle w:val="ListParagraph"/>
        <w:numPr>
          <w:ilvl w:val="1"/>
          <w:numId w:val="17"/>
        </w:numPr>
      </w:pPr>
      <w:r>
        <w:rPr>
          <w:rFonts w:eastAsia="Times New Roman"/>
          <w:b/>
          <w:bCs/>
          <w:color w:val="002060"/>
          <w:lang w:eastAsia="en-GB"/>
        </w:rPr>
        <w:t xml:space="preserve">Selecting outputs where the substantive link is via former staff: </w:t>
      </w:r>
      <w:r>
        <w:rPr>
          <w:rFonts w:eastAsia="Times New Roman"/>
          <w:color w:val="002060"/>
          <w:lang w:eastAsia="en-GB"/>
        </w:rPr>
        <w:t>covering compulsory redundancy, voluntary redundancy or severance, retirement, expiration of fixed term contracts</w:t>
      </w:r>
    </w:p>
    <w:p w14:paraId="6D1F08E3" w14:textId="77777777" w:rsidR="00B87F02" w:rsidRDefault="00B87F02">
      <w:pPr>
        <w:pStyle w:val="ListParagraph"/>
        <w:numPr>
          <w:ilvl w:val="1"/>
          <w:numId w:val="17"/>
        </w:numPr>
      </w:pPr>
      <w:r>
        <w:rPr>
          <w:rFonts w:eastAsia="Times New Roman"/>
          <w:b/>
          <w:bCs/>
          <w:color w:val="002060"/>
          <w:lang w:eastAsia="en-GB"/>
        </w:rPr>
        <w:t xml:space="preserve">Assigning outputs to </w:t>
      </w:r>
      <w:proofErr w:type="spellStart"/>
      <w:r>
        <w:rPr>
          <w:rFonts w:eastAsia="Times New Roman"/>
          <w:b/>
          <w:bCs/>
          <w:color w:val="002060"/>
          <w:lang w:eastAsia="en-GB"/>
        </w:rPr>
        <w:t>UoA</w:t>
      </w:r>
      <w:proofErr w:type="spellEnd"/>
      <w:r>
        <w:rPr>
          <w:rFonts w:eastAsia="Times New Roman"/>
          <w:b/>
          <w:bCs/>
          <w:color w:val="002060"/>
          <w:lang w:eastAsia="en-GB"/>
        </w:rPr>
        <w:t xml:space="preserve">/s: </w:t>
      </w:r>
      <w:r>
        <w:rPr>
          <w:rFonts w:eastAsia="Times New Roman"/>
          <w:color w:val="002060"/>
          <w:lang w:eastAsia="en-GB"/>
        </w:rPr>
        <w:t>Considering interdisciplinary research and submitting an output to multiple UOAs.</w:t>
      </w:r>
    </w:p>
    <w:p w14:paraId="5AA4EDF1" w14:textId="77777777" w:rsidR="00B87F02" w:rsidRDefault="00B87F02">
      <w:pPr>
        <w:pStyle w:val="ListParagraph"/>
        <w:numPr>
          <w:ilvl w:val="1"/>
          <w:numId w:val="17"/>
        </w:numPr>
        <w:rPr>
          <w:rFonts w:eastAsia="Times New Roman"/>
          <w:b/>
          <w:bCs/>
          <w:color w:val="002060"/>
          <w:lang w:eastAsia="en-GB"/>
        </w:rPr>
      </w:pPr>
      <w:r>
        <w:rPr>
          <w:rFonts w:eastAsia="Times New Roman"/>
          <w:b/>
          <w:bCs/>
          <w:color w:val="002060"/>
          <w:lang w:eastAsia="en-GB"/>
        </w:rPr>
        <w:lastRenderedPageBreak/>
        <w:t xml:space="preserve">Procedures for supporting diversity of outputs </w:t>
      </w:r>
    </w:p>
    <w:p w14:paraId="04490B99" w14:textId="77777777" w:rsidR="00B87F02" w:rsidRDefault="00B87F02">
      <w:pPr>
        <w:pStyle w:val="ListParagraph"/>
        <w:numPr>
          <w:ilvl w:val="1"/>
          <w:numId w:val="17"/>
        </w:numPr>
      </w:pPr>
      <w:r>
        <w:rPr>
          <w:rFonts w:eastAsia="Times New Roman"/>
          <w:b/>
          <w:bCs/>
          <w:color w:val="002060"/>
          <w:lang w:eastAsia="en-GB"/>
        </w:rPr>
        <w:t xml:space="preserve">Procedures for ensuring submissions are representative of the research undertaken within the submitting unit during the REF period: </w:t>
      </w:r>
      <w:r>
        <w:rPr>
          <w:rFonts w:eastAsia="Times New Roman"/>
          <w:color w:val="002060"/>
          <w:lang w:eastAsia="en-GB"/>
        </w:rPr>
        <w:t>Outlining the processes that will be undertaken to ensure that submitted outputs are reflective of the research strategies and structures, the diversity of research outputs, and contributions, collaborations and partnerships of the submitting unit and the unit’s research strategies.</w:t>
      </w:r>
    </w:p>
    <w:p w14:paraId="014EA648" w14:textId="77777777" w:rsidR="00B87F02" w:rsidRDefault="00B87F02">
      <w:pPr>
        <w:pStyle w:val="ListParagraph"/>
        <w:numPr>
          <w:ilvl w:val="1"/>
          <w:numId w:val="17"/>
        </w:numPr>
      </w:pPr>
      <w:r>
        <w:rPr>
          <w:rFonts w:eastAsia="Arial"/>
          <w:b/>
          <w:bCs/>
          <w:color w:val="002060"/>
        </w:rPr>
        <w:t>Policies and procedures and responsible research assessment practice</w:t>
      </w:r>
    </w:p>
    <w:p w14:paraId="414DC663" w14:textId="77777777" w:rsidR="00B87F02" w:rsidRPr="00513598" w:rsidRDefault="00B87F02">
      <w:pPr>
        <w:pStyle w:val="ListParagraph"/>
        <w:numPr>
          <w:ilvl w:val="0"/>
          <w:numId w:val="112"/>
        </w:numPr>
        <w:ind w:left="714" w:hanging="357"/>
        <w:rPr>
          <w:b/>
          <w:bCs/>
          <w:color w:val="002060"/>
          <w:lang w:eastAsia="en-GB"/>
        </w:rPr>
      </w:pPr>
      <w:r w:rsidRPr="00513598">
        <w:rPr>
          <w:b/>
          <w:bCs/>
          <w:color w:val="002060"/>
          <w:lang w:eastAsia="en-GB"/>
        </w:rPr>
        <w:t>Staff, Committees, and Training:</w:t>
      </w:r>
    </w:p>
    <w:p w14:paraId="5FC0A093" w14:textId="77777777" w:rsidR="00B87F02" w:rsidRDefault="00B87F02">
      <w:pPr>
        <w:numPr>
          <w:ilvl w:val="1"/>
          <w:numId w:val="17"/>
        </w:numPr>
        <w:spacing w:before="100" w:after="100"/>
      </w:pPr>
      <w:r>
        <w:rPr>
          <w:rFonts w:eastAsia="Times New Roman"/>
          <w:i/>
          <w:iCs/>
          <w:color w:val="002060"/>
          <w:sz w:val="22"/>
          <w:lang w:eastAsia="en-GB"/>
        </w:rPr>
        <w:t>If this section is the same as Part 2 or 3, please just refer to the earlier text.</w:t>
      </w:r>
    </w:p>
    <w:p w14:paraId="7BDD202F" w14:textId="77777777" w:rsidR="00B87F02" w:rsidRDefault="00B87F02">
      <w:pPr>
        <w:numPr>
          <w:ilvl w:val="1"/>
          <w:numId w:val="17"/>
        </w:numPr>
        <w:spacing w:before="100" w:after="100"/>
      </w:pPr>
      <w:r>
        <w:rPr>
          <w:rFonts w:eastAsia="Times New Roman"/>
          <w:b/>
          <w:bCs/>
          <w:color w:val="002060"/>
          <w:sz w:val="22"/>
          <w:lang w:eastAsia="en-GB"/>
        </w:rPr>
        <w:t>Roles and Responsibilities</w:t>
      </w:r>
      <w:r>
        <w:rPr>
          <w:rFonts w:eastAsia="Times New Roman"/>
          <w:color w:val="002060"/>
          <w:sz w:val="22"/>
          <w:lang w:eastAsia="en-GB"/>
        </w:rPr>
        <w:t xml:space="preserve">: Define roles and responsibilities of individuals and committees, distinguishing between advisory and decision-making roles. </w:t>
      </w:r>
    </w:p>
    <w:p w14:paraId="6D28A3C8" w14:textId="77777777" w:rsidR="00B87F02" w:rsidRDefault="00B87F02">
      <w:pPr>
        <w:numPr>
          <w:ilvl w:val="1"/>
          <w:numId w:val="17"/>
        </w:numPr>
        <w:spacing w:before="100" w:after="100"/>
      </w:pPr>
      <w:r>
        <w:rPr>
          <w:rFonts w:eastAsia="Times New Roman"/>
          <w:b/>
          <w:bCs/>
          <w:color w:val="002060"/>
          <w:sz w:val="22"/>
          <w:lang w:eastAsia="en-GB"/>
        </w:rPr>
        <w:t>Training</w:t>
      </w:r>
      <w:r>
        <w:rPr>
          <w:rFonts w:eastAsia="Times New Roman"/>
          <w:color w:val="002060"/>
          <w:sz w:val="22"/>
          <w:lang w:eastAsia="en-GB"/>
        </w:rPr>
        <w:t>: Detail training provided.</w:t>
      </w:r>
    </w:p>
    <w:p w14:paraId="4B202179" w14:textId="77777777" w:rsidR="00B87F02" w:rsidRPr="00513598" w:rsidRDefault="00B87F02">
      <w:pPr>
        <w:pStyle w:val="ListParagraph"/>
        <w:numPr>
          <w:ilvl w:val="0"/>
          <w:numId w:val="112"/>
        </w:numPr>
        <w:ind w:left="714" w:hanging="357"/>
        <w:rPr>
          <w:b/>
          <w:bCs/>
          <w:color w:val="002060"/>
          <w:lang w:eastAsia="en-GB"/>
        </w:rPr>
      </w:pPr>
      <w:r w:rsidRPr="00513598">
        <w:rPr>
          <w:b/>
          <w:bCs/>
          <w:color w:val="002060"/>
          <w:lang w:eastAsia="en-GB"/>
        </w:rPr>
        <w:t>Equality Impact Assessment (EIA):</w:t>
      </w:r>
    </w:p>
    <w:p w14:paraId="2AB0F580" w14:textId="77777777" w:rsidR="00B87F02" w:rsidRDefault="00B87F02">
      <w:pPr>
        <w:numPr>
          <w:ilvl w:val="1"/>
          <w:numId w:val="17"/>
        </w:numPr>
        <w:spacing w:before="100" w:after="960"/>
        <w:ind w:left="1434" w:hanging="357"/>
      </w:pPr>
      <w:r>
        <w:rPr>
          <w:rFonts w:eastAsia="Times New Roman"/>
          <w:b/>
          <w:bCs/>
          <w:color w:val="002060"/>
          <w:sz w:val="22"/>
          <w:lang w:eastAsia="en-GB"/>
        </w:rPr>
        <w:t>EIA Integration</w:t>
      </w:r>
      <w:r>
        <w:rPr>
          <w:rFonts w:eastAsia="Times New Roman"/>
          <w:color w:val="002060"/>
          <w:sz w:val="22"/>
          <w:lang w:eastAsia="en-GB"/>
        </w:rPr>
        <w:t>: Demonstrate how EIA informed the selection of outputs and policy/procedure development. Provide information on data, findings, and actions taken.</w:t>
      </w:r>
    </w:p>
    <w:p w14:paraId="4EFC9A0E" w14:textId="77777777" w:rsidR="00B87F02" w:rsidRDefault="00B87F02">
      <w:pPr>
        <w:pStyle w:val="ListParagraph"/>
        <w:numPr>
          <w:ilvl w:val="1"/>
          <w:numId w:val="18"/>
        </w:numPr>
        <w:spacing w:after="0"/>
      </w:pPr>
      <w:r>
        <w:rPr>
          <w:rFonts w:eastAsia="Times New Roman"/>
          <w:b/>
          <w:bCs/>
          <w:lang w:eastAsia="en-GB"/>
        </w:rPr>
        <w:t xml:space="preserve">Identifying substantive </w:t>
      </w:r>
      <w:proofErr w:type="gramStart"/>
      <w:r>
        <w:rPr>
          <w:rFonts w:eastAsia="Times New Roman"/>
          <w:b/>
          <w:bCs/>
          <w:lang w:eastAsia="en-GB"/>
        </w:rPr>
        <w:t>link</w:t>
      </w:r>
      <w:proofErr w:type="gramEnd"/>
      <w:r>
        <w:rPr>
          <w:rFonts w:eastAsia="Times New Roman"/>
          <w:b/>
          <w:bCs/>
          <w:lang w:eastAsia="en-GB"/>
        </w:rPr>
        <w:t xml:space="preserve"> to outputs &amp; Selecting outputs where the substantive link is via former staff</w:t>
      </w:r>
    </w:p>
    <w:p w14:paraId="4BAEED3E" w14:textId="77777777" w:rsidR="00B87F02" w:rsidRDefault="00B87F02">
      <w:pPr>
        <w:spacing w:after="0"/>
        <w:ind w:left="360"/>
      </w:pPr>
      <w:r>
        <w:rPr>
          <w:rFonts w:eastAsia="Times New Roman"/>
          <w:color w:val="002060"/>
          <w:sz w:val="22"/>
          <w:lang w:eastAsia="en-GB"/>
        </w:rPr>
        <w:t>covering compulsory redundancy, voluntary redundancy or severance, retirement, expiration of fixed term contracts</w:t>
      </w:r>
    </w:p>
    <w:p w14:paraId="1F842DD2" w14:textId="77777777" w:rsidR="00B87F02" w:rsidRDefault="00B87F02">
      <w:pPr>
        <w:pStyle w:val="ListParagraph"/>
        <w:numPr>
          <w:ilvl w:val="2"/>
          <w:numId w:val="18"/>
        </w:numPr>
        <w:spacing w:before="240" w:after="0"/>
      </w:pPr>
      <w:r>
        <w:t>Because all contracts which are included with the HESA code ACEMPFUN 3 have significant responsibility for research, and expectations around research are an in-built part of these roles, accurately identifying the employment dates for colleagues in this cohort is the basis for us to identify a substantive link to the output.</w:t>
      </w:r>
    </w:p>
    <w:p w14:paraId="7415F124" w14:textId="047DF772" w:rsidR="00B87F02" w:rsidRDefault="00B87F02">
      <w:pPr>
        <w:pStyle w:val="ListParagraph"/>
        <w:numPr>
          <w:ilvl w:val="2"/>
          <w:numId w:val="18"/>
        </w:numPr>
        <w:spacing w:before="240" w:after="0"/>
      </w:pPr>
      <w:r>
        <w:rPr>
          <w:rFonts w:eastAsia="Times New Roman"/>
          <w:lang w:eastAsia="en-GB"/>
        </w:rPr>
        <w:t xml:space="preserve">After the completion of the 24/25 HESA staff return, all REF leads will be issued with a report from HR which lists all staff members who have been part of the </w:t>
      </w:r>
      <w:proofErr w:type="spellStart"/>
      <w:r>
        <w:rPr>
          <w:rFonts w:eastAsia="Times New Roman"/>
          <w:lang w:eastAsia="en-GB"/>
        </w:rPr>
        <w:t>UoA</w:t>
      </w:r>
      <w:proofErr w:type="spellEnd"/>
      <w:r>
        <w:rPr>
          <w:rFonts w:eastAsia="Times New Roman"/>
          <w:lang w:eastAsia="en-GB"/>
        </w:rPr>
        <w:t xml:space="preserve"> since the </w:t>
      </w:r>
      <w:proofErr w:type="gramStart"/>
      <w:r>
        <w:rPr>
          <w:rFonts w:eastAsia="Times New Roman"/>
          <w:lang w:eastAsia="en-GB"/>
        </w:rPr>
        <w:t>31</w:t>
      </w:r>
      <w:r>
        <w:rPr>
          <w:rFonts w:eastAsia="Times New Roman"/>
          <w:vertAlign w:val="superscript"/>
          <w:lang w:eastAsia="en-GB"/>
        </w:rPr>
        <w:t>st</w:t>
      </w:r>
      <w:proofErr w:type="gramEnd"/>
      <w:r>
        <w:rPr>
          <w:rFonts w:eastAsia="Times New Roman"/>
          <w:lang w:eastAsia="en-GB"/>
        </w:rPr>
        <w:t xml:space="preserve"> December 2020, their academic employment function, whether ACEMPFUN 1, 2 or 3, and, in the case of ACEMPFUN 2 whether or not research independence had or has been attained. This report will include contract start and/or end dates for anyone who has started and or left the Colleges employment since 31</w:t>
      </w:r>
      <w:r>
        <w:rPr>
          <w:rFonts w:eastAsia="Times New Roman"/>
          <w:vertAlign w:val="superscript"/>
          <w:lang w:eastAsia="en-GB"/>
        </w:rPr>
        <w:t>st</w:t>
      </w:r>
      <w:r>
        <w:rPr>
          <w:rFonts w:eastAsia="Times New Roman"/>
          <w:lang w:eastAsia="en-GB"/>
        </w:rPr>
        <w:t xml:space="preserve"> December 2020. Anyone who has been made compulsorily redundant will be removed from this list by HR prior to the data being shared because outputs from these individuals are not eligible to be included in the return. Outputs from colleagues who have taken voluntary redundancy or severance, or who have been made redundant due to the expiration of a fixed term contract or where colleagues have retired are eligible for consideration. Birkbeck will not differentiate these colleagues due to administrative complexity and the risk of involuntary disclosure given the often-confidential nature of these arrangements. This mirrors the approach taken by Birkbeck in REF 2021.</w:t>
      </w:r>
      <w:r w:rsidR="00267A4E">
        <w:rPr>
          <w:rFonts w:eastAsia="Times New Roman"/>
          <w:lang w:eastAsia="en-GB"/>
        </w:rPr>
        <w:t xml:space="preserve"> </w:t>
      </w:r>
    </w:p>
    <w:p w14:paraId="5308449C" w14:textId="77777777" w:rsidR="00B87F02" w:rsidRDefault="00B87F02" w:rsidP="003236EB">
      <w:pPr>
        <w:spacing w:before="240" w:after="240"/>
        <w:ind w:left="709"/>
      </w:pPr>
      <w:bookmarkStart w:id="0" w:name="_Hlk207379211"/>
      <w:r>
        <w:rPr>
          <w:sz w:val="22"/>
        </w:rPr>
        <w:t xml:space="preserve">The HR Data Analyst is responsible for confirming that the staff members on the list meet </w:t>
      </w:r>
      <w:proofErr w:type="gramStart"/>
      <w:r>
        <w:rPr>
          <w:sz w:val="22"/>
        </w:rPr>
        <w:t>all of</w:t>
      </w:r>
      <w:proofErr w:type="gramEnd"/>
      <w:r>
        <w:rPr>
          <w:sz w:val="22"/>
        </w:rPr>
        <w:t xml:space="preserve"> the criteria necessary for inclusion – </w:t>
      </w:r>
      <w:proofErr w:type="spellStart"/>
      <w:r>
        <w:rPr>
          <w:sz w:val="22"/>
        </w:rPr>
        <w:t>ie</w:t>
      </w:r>
      <w:proofErr w:type="spellEnd"/>
      <w:r>
        <w:rPr>
          <w:sz w:val="22"/>
        </w:rPr>
        <w:t>:</w:t>
      </w:r>
    </w:p>
    <w:p w14:paraId="6023C2EC" w14:textId="77777777" w:rsidR="00B87F02" w:rsidRDefault="00B87F02">
      <w:pPr>
        <w:pStyle w:val="ListParagraph"/>
        <w:numPr>
          <w:ilvl w:val="0"/>
          <w:numId w:val="9"/>
        </w:numPr>
        <w:suppressAutoHyphens w:val="0"/>
        <w:spacing w:after="0"/>
        <w:ind w:left="1450"/>
        <w:contextualSpacing/>
        <w:textAlignment w:val="auto"/>
      </w:pPr>
      <w:r>
        <w:lastRenderedPageBreak/>
        <w:t>the individual was either ACEMPFUN 3 eligible or on a Research-only contract type but undertook independent research.</w:t>
      </w:r>
    </w:p>
    <w:p w14:paraId="56F9CD72" w14:textId="77777777" w:rsidR="00B87F02" w:rsidRDefault="00B87F02">
      <w:pPr>
        <w:pStyle w:val="ListParagraph"/>
        <w:numPr>
          <w:ilvl w:val="0"/>
          <w:numId w:val="9"/>
        </w:numPr>
        <w:suppressAutoHyphens w:val="0"/>
        <w:spacing w:after="0"/>
        <w:ind w:left="1450"/>
        <w:contextualSpacing/>
        <w:textAlignment w:val="auto"/>
      </w:pPr>
      <w:r>
        <w:t>the individual meets the criteria defined in the Research England Guidance and the College holds the necessary data for the mandatory data fields to be completed (as defined in the Research England Guidance).</w:t>
      </w:r>
    </w:p>
    <w:p w14:paraId="484B75F7" w14:textId="77777777" w:rsidR="00B87F02" w:rsidRDefault="00B87F02">
      <w:pPr>
        <w:pStyle w:val="ListParagraph"/>
        <w:numPr>
          <w:ilvl w:val="0"/>
          <w:numId w:val="9"/>
        </w:numPr>
        <w:suppressAutoHyphens w:val="0"/>
        <w:spacing w:after="0"/>
        <w:ind w:left="1450"/>
        <w:contextualSpacing/>
        <w:textAlignment w:val="auto"/>
      </w:pPr>
      <w:r>
        <w:t>And where an individual has moved from an ineligible contract type to an eligible contract type during the period, to ensure that all the eligible outputs from these individuals can be assessed fairly and transparently</w:t>
      </w:r>
    </w:p>
    <w:p w14:paraId="26D616E7" w14:textId="77777777" w:rsidR="00B87F02" w:rsidRDefault="00B87F02" w:rsidP="003236EB">
      <w:pPr>
        <w:spacing w:before="120" w:after="120"/>
        <w:ind w:left="709"/>
        <w:rPr>
          <w:sz w:val="22"/>
        </w:rPr>
      </w:pPr>
      <w:r>
        <w:rPr>
          <w:sz w:val="22"/>
        </w:rPr>
        <w:t>To ensure that no sensitive personal data is inadvertently disclosed outside HR, HR will merely confirm whether the individual meets the (REF and College defined) eligibility criteria.</w:t>
      </w:r>
    </w:p>
    <w:bookmarkEnd w:id="0"/>
    <w:p w14:paraId="7A70874A" w14:textId="2D51F1C4" w:rsidR="00B87F02" w:rsidRDefault="00B87F02">
      <w:pPr>
        <w:pStyle w:val="ListParagraph"/>
        <w:numPr>
          <w:ilvl w:val="2"/>
          <w:numId w:val="18"/>
        </w:numPr>
        <w:spacing w:after="0"/>
      </w:pPr>
      <w:proofErr w:type="gramStart"/>
      <w:r>
        <w:rPr>
          <w:rFonts w:eastAsia="Times New Roman"/>
          <w:lang w:eastAsia="en-GB"/>
        </w:rPr>
        <w:t>REF</w:t>
      </w:r>
      <w:proofErr w:type="gramEnd"/>
      <w:r>
        <w:rPr>
          <w:rFonts w:eastAsia="Times New Roman"/>
          <w:lang w:eastAsia="en-GB"/>
        </w:rPr>
        <w:t xml:space="preserve"> leads will be asked to check this data with their local records and identify any individuals who they </w:t>
      </w:r>
      <w:proofErr w:type="gramStart"/>
      <w:r>
        <w:rPr>
          <w:rFonts w:eastAsia="Times New Roman"/>
          <w:lang w:eastAsia="en-GB"/>
        </w:rPr>
        <w:t>fell</w:t>
      </w:r>
      <w:proofErr w:type="gramEnd"/>
      <w:r>
        <w:rPr>
          <w:rFonts w:eastAsia="Times New Roman"/>
          <w:lang w:eastAsia="en-GB"/>
        </w:rPr>
        <w:t xml:space="preserve"> have been misallocated to, or are missing from, their </w:t>
      </w:r>
      <w:proofErr w:type="spellStart"/>
      <w:r>
        <w:rPr>
          <w:rFonts w:eastAsia="Times New Roman"/>
          <w:lang w:eastAsia="en-GB"/>
        </w:rPr>
        <w:t>UoA</w:t>
      </w:r>
      <w:proofErr w:type="spellEnd"/>
      <w:r>
        <w:rPr>
          <w:rFonts w:eastAsia="Times New Roman"/>
          <w:lang w:eastAsia="en-GB"/>
        </w:rPr>
        <w:t xml:space="preserve">. An iterative process will be followed between the relevant REF lead(s), the Director of Research, the HR Data analyst, and if </w:t>
      </w:r>
      <w:proofErr w:type="gramStart"/>
      <w:r>
        <w:rPr>
          <w:rFonts w:eastAsia="Times New Roman"/>
          <w:lang w:eastAsia="en-GB"/>
        </w:rPr>
        <w:t>necessary</w:t>
      </w:r>
      <w:proofErr w:type="gramEnd"/>
      <w:r>
        <w:rPr>
          <w:rFonts w:eastAsia="Times New Roman"/>
          <w:lang w:eastAsia="en-GB"/>
        </w:rPr>
        <w:t xml:space="preserve"> the relevant</w:t>
      </w:r>
      <w:r w:rsidR="00267A4E">
        <w:rPr>
          <w:rFonts w:eastAsia="Times New Roman"/>
          <w:lang w:eastAsia="en-GB"/>
        </w:rPr>
        <w:t xml:space="preserve"> </w:t>
      </w:r>
      <w:r>
        <w:rPr>
          <w:rFonts w:eastAsia="Times New Roman"/>
          <w:lang w:eastAsia="en-GB"/>
        </w:rPr>
        <w:t xml:space="preserve">HR Business Partner(s) until an agreed staff list is produced and the contracts of all ACEMPFUN 3 or 2 (where independence has been determined) colleagues are counted within a suitable </w:t>
      </w:r>
      <w:proofErr w:type="spellStart"/>
      <w:r>
        <w:rPr>
          <w:rFonts w:eastAsia="Times New Roman"/>
          <w:lang w:eastAsia="en-GB"/>
        </w:rPr>
        <w:t>UoA</w:t>
      </w:r>
      <w:proofErr w:type="spellEnd"/>
      <w:r>
        <w:rPr>
          <w:rFonts w:eastAsia="Times New Roman"/>
          <w:lang w:eastAsia="en-GB"/>
        </w:rPr>
        <w:t xml:space="preserve"> that the College will be returning to. This allocation process will follow the principles laid out in section 4.</w:t>
      </w:r>
    </w:p>
    <w:p w14:paraId="718522AC" w14:textId="77777777" w:rsidR="00B87F02" w:rsidRDefault="00B87F02">
      <w:pPr>
        <w:pStyle w:val="ListParagraph"/>
        <w:numPr>
          <w:ilvl w:val="2"/>
          <w:numId w:val="18"/>
        </w:numPr>
        <w:spacing w:before="200" w:after="0"/>
      </w:pPr>
      <w:r>
        <w:rPr>
          <w:rFonts w:eastAsia="Times New Roman"/>
          <w:lang w:eastAsia="en-GB"/>
        </w:rPr>
        <w:t xml:space="preserve">Once the staff lists are agreed, including contract start dates for new staff </w:t>
      </w:r>
      <w:proofErr w:type="gramStart"/>
      <w:r>
        <w:rPr>
          <w:rFonts w:eastAsia="Times New Roman"/>
          <w:lang w:eastAsia="en-GB"/>
        </w:rPr>
        <w:t>since</w:t>
      </w:r>
      <w:proofErr w:type="gramEnd"/>
      <w:r>
        <w:rPr>
          <w:rFonts w:eastAsia="Times New Roman"/>
          <w:lang w:eastAsia="en-GB"/>
        </w:rPr>
        <w:t xml:space="preserve"> 31</w:t>
      </w:r>
      <w:r>
        <w:rPr>
          <w:rFonts w:eastAsia="Times New Roman"/>
          <w:vertAlign w:val="superscript"/>
          <w:lang w:eastAsia="en-GB"/>
        </w:rPr>
        <w:t>st</w:t>
      </w:r>
      <w:r>
        <w:rPr>
          <w:rFonts w:eastAsia="Times New Roman"/>
          <w:lang w:eastAsia="en-GB"/>
        </w:rPr>
        <w:t xml:space="preserve"> December 2020 and end dates for now former staff, then </w:t>
      </w:r>
      <w:proofErr w:type="spellStart"/>
      <w:r>
        <w:rPr>
          <w:rFonts w:eastAsia="Times New Roman"/>
          <w:lang w:eastAsia="en-GB"/>
        </w:rPr>
        <w:t>UoAs</w:t>
      </w:r>
      <w:proofErr w:type="spellEnd"/>
      <w:r>
        <w:rPr>
          <w:rFonts w:eastAsia="Times New Roman"/>
          <w:lang w:eastAsia="en-GB"/>
        </w:rPr>
        <w:t xml:space="preserve"> will be able to select eligible outputs which were first published during the period of employment at Birkbeck. </w:t>
      </w:r>
      <w:r>
        <w:t xml:space="preserve">In this case, the </w:t>
      </w:r>
      <w:proofErr w:type="spellStart"/>
      <w:r>
        <w:t>UoA</w:t>
      </w:r>
      <w:proofErr w:type="spellEnd"/>
      <w:r>
        <w:t xml:space="preserve"> lead should work with the </w:t>
      </w:r>
      <w:proofErr w:type="spellStart"/>
      <w:r>
        <w:t>UoA</w:t>
      </w:r>
      <w:proofErr w:type="spellEnd"/>
      <w:r>
        <w:t xml:space="preserve"> reading group to identify outputs that they consider to be suitable to include in the return. </w:t>
      </w:r>
    </w:p>
    <w:p w14:paraId="024E7CC2" w14:textId="77777777" w:rsidR="00B87F02" w:rsidRDefault="00B87F02" w:rsidP="003236EB">
      <w:pPr>
        <w:spacing w:before="200" w:after="0"/>
        <w:ind w:left="709"/>
      </w:pPr>
      <w:r>
        <w:rPr>
          <w:rFonts w:eastAsia="Times New Roman"/>
          <w:sz w:val="22"/>
          <w:lang w:eastAsia="en-GB"/>
        </w:rPr>
        <w:t xml:space="preserve">If there are outputs which </w:t>
      </w:r>
      <w:proofErr w:type="gramStart"/>
      <w:r>
        <w:rPr>
          <w:rFonts w:eastAsia="Times New Roman"/>
          <w:sz w:val="22"/>
          <w:lang w:eastAsia="en-GB"/>
        </w:rPr>
        <w:t xml:space="preserve">are </w:t>
      </w:r>
      <w:r>
        <w:rPr>
          <w:sz w:val="22"/>
        </w:rPr>
        <w:t>considered to be</w:t>
      </w:r>
      <w:proofErr w:type="gramEnd"/>
      <w:r>
        <w:rPr>
          <w:sz w:val="22"/>
        </w:rPr>
        <w:t xml:space="preserve"> suitable to include in the return</w:t>
      </w:r>
      <w:r>
        <w:rPr>
          <w:rFonts w:eastAsia="Times New Roman"/>
          <w:sz w:val="22"/>
          <w:lang w:eastAsia="en-GB"/>
        </w:rPr>
        <w:t xml:space="preserve"> where a substantive link may be demonstrated but the date of publication is after the end of the period of employment at Birkbeck, the principles defined in the official REF Guidance will be followed.</w:t>
      </w:r>
    </w:p>
    <w:p w14:paraId="6ECD9195" w14:textId="77777777" w:rsidR="00B87F02" w:rsidRDefault="00B87F02">
      <w:pPr>
        <w:pStyle w:val="ListParagraph"/>
        <w:numPr>
          <w:ilvl w:val="2"/>
          <w:numId w:val="18"/>
        </w:numPr>
        <w:spacing w:before="200" w:after="0"/>
      </w:pPr>
      <w:r>
        <w:t xml:space="preserve">Where </w:t>
      </w:r>
      <w:proofErr w:type="spellStart"/>
      <w:r>
        <w:t>UoAs</w:t>
      </w:r>
      <w:proofErr w:type="spellEnd"/>
      <w:r>
        <w:t xml:space="preserve"> are looking to include </w:t>
      </w:r>
      <w:proofErr w:type="gramStart"/>
      <w:r>
        <w:t>outputs</w:t>
      </w:r>
      <w:proofErr w:type="gramEnd"/>
      <w:r>
        <w:t xml:space="preserve"> from former staff members, as a matter of courtesy and where possible and practical, the former staff member should be informed of this fact, and the REF lead should take reasonable steps to do this. Former staff members who want to discuss </w:t>
      </w:r>
      <w:proofErr w:type="gramStart"/>
      <w:r>
        <w:t>whether or not</w:t>
      </w:r>
      <w:proofErr w:type="gramEnd"/>
      <w:r>
        <w:t xml:space="preserve"> their </w:t>
      </w:r>
      <w:proofErr w:type="gramStart"/>
      <w:r>
        <w:t>outputs</w:t>
      </w:r>
      <w:proofErr w:type="gramEnd"/>
      <w:r>
        <w:t xml:space="preserve"> should be included as part of Birkbeck’s return should contact the Director of Research in the first instance.</w:t>
      </w:r>
    </w:p>
    <w:p w14:paraId="282B6802" w14:textId="77777777" w:rsidR="00B87F02" w:rsidRDefault="00B87F02">
      <w:pPr>
        <w:pStyle w:val="ListParagraph"/>
        <w:numPr>
          <w:ilvl w:val="2"/>
          <w:numId w:val="18"/>
        </w:numPr>
        <w:spacing w:before="200" w:after="0"/>
      </w:pPr>
      <w:r>
        <w:t xml:space="preserve">All decisions to include </w:t>
      </w:r>
      <w:proofErr w:type="gramStart"/>
      <w:r>
        <w:t>outputs</w:t>
      </w:r>
      <w:proofErr w:type="gramEnd"/>
      <w:r>
        <w:t xml:space="preserve"> from former staff members will be made on a case-by-case basis.</w:t>
      </w:r>
      <w:r>
        <w:rPr>
          <w:rFonts w:ascii="Gill Sans MT" w:hAnsi="Gill Sans MT"/>
        </w:rPr>
        <w:t xml:space="preserve"> </w:t>
      </w:r>
    </w:p>
    <w:p w14:paraId="0B98D9D5" w14:textId="77777777" w:rsidR="00B87F02" w:rsidRDefault="00B87F02">
      <w:pPr>
        <w:pStyle w:val="ListParagraph"/>
        <w:numPr>
          <w:ilvl w:val="2"/>
          <w:numId w:val="18"/>
        </w:numPr>
        <w:spacing w:before="200" w:after="0"/>
      </w:pPr>
      <w:r>
        <w:t xml:space="preserve">As part of the preparation of the annual HESA staff return, once a year (in the spring/summer) a list of new starters on ACEMPFUN 3 contract types will be generated. These </w:t>
      </w:r>
      <w:proofErr w:type="gramStart"/>
      <w:r>
        <w:t>individuals</w:t>
      </w:r>
      <w:proofErr w:type="gramEnd"/>
      <w:r>
        <w:t xml:space="preserve"> volumes will be allocated to </w:t>
      </w:r>
      <w:proofErr w:type="spellStart"/>
      <w:r>
        <w:t>UoAs</w:t>
      </w:r>
      <w:proofErr w:type="spellEnd"/>
      <w:r>
        <w:t xml:space="preserve"> following the process described in section 4. These allocations will be approved by RSG in its capacity as the executive of the REF Working Party and the names of the individuals will be shared with the relevant REF leads. It is noted that, in most cases, only outputs published during the period of employment at Birkbeck will be eligible to be included in the Birkbeck REF 2029 submission, and other restrictions given in the Research England guidance need to be followed. </w:t>
      </w:r>
    </w:p>
    <w:p w14:paraId="7478C571" w14:textId="77777777" w:rsidR="00B87F02" w:rsidRDefault="00B87F02">
      <w:pPr>
        <w:pStyle w:val="ListParagraph"/>
        <w:numPr>
          <w:ilvl w:val="1"/>
          <w:numId w:val="18"/>
        </w:numPr>
        <w:spacing w:before="360" w:after="0"/>
        <w:ind w:left="357" w:hanging="357"/>
        <w:rPr>
          <w:rFonts w:eastAsia="Times New Roman"/>
          <w:b/>
          <w:bCs/>
          <w:lang w:eastAsia="en-GB"/>
        </w:rPr>
      </w:pPr>
      <w:r>
        <w:rPr>
          <w:rFonts w:eastAsia="Times New Roman"/>
          <w:b/>
          <w:bCs/>
          <w:lang w:eastAsia="en-GB"/>
        </w:rPr>
        <w:t xml:space="preserve">Assigning outputs to </w:t>
      </w:r>
      <w:proofErr w:type="spellStart"/>
      <w:r>
        <w:rPr>
          <w:rFonts w:eastAsia="Times New Roman"/>
          <w:b/>
          <w:bCs/>
          <w:lang w:eastAsia="en-GB"/>
        </w:rPr>
        <w:t>UoA</w:t>
      </w:r>
      <w:proofErr w:type="spellEnd"/>
      <w:r>
        <w:rPr>
          <w:rFonts w:eastAsia="Times New Roman"/>
          <w:b/>
          <w:bCs/>
          <w:lang w:eastAsia="en-GB"/>
        </w:rPr>
        <w:t>/s:</w:t>
      </w:r>
    </w:p>
    <w:p w14:paraId="583B80C7" w14:textId="77777777" w:rsidR="00B87F02" w:rsidRDefault="00B87F02">
      <w:pPr>
        <w:ind w:left="360"/>
        <w:rPr>
          <w:rFonts w:eastAsia="Times New Roman"/>
          <w:color w:val="002060"/>
          <w:sz w:val="22"/>
          <w:lang w:eastAsia="en-GB"/>
        </w:rPr>
      </w:pPr>
      <w:r>
        <w:rPr>
          <w:rFonts w:eastAsia="Times New Roman"/>
          <w:color w:val="002060"/>
          <w:sz w:val="22"/>
          <w:lang w:eastAsia="en-GB"/>
        </w:rPr>
        <w:t>Considering interdisciplinary research and submitting an output to multiple UOAs.</w:t>
      </w:r>
    </w:p>
    <w:p w14:paraId="7DC84574" w14:textId="77777777" w:rsidR="00B87F02" w:rsidRDefault="00B87F02">
      <w:pPr>
        <w:pStyle w:val="ListParagraph"/>
        <w:numPr>
          <w:ilvl w:val="2"/>
          <w:numId w:val="18"/>
        </w:numPr>
        <w:spacing w:after="0"/>
      </w:pPr>
      <w:r>
        <w:rPr>
          <w:rFonts w:eastAsia="Times New Roman"/>
          <w:lang w:eastAsia="en-GB"/>
        </w:rPr>
        <w:lastRenderedPageBreak/>
        <w:t xml:space="preserve">When reading and reviewing outputs, members of reading groups will be asked to flag which </w:t>
      </w:r>
      <w:proofErr w:type="spellStart"/>
      <w:r>
        <w:rPr>
          <w:rFonts w:eastAsia="Times New Roman"/>
          <w:lang w:eastAsia="en-GB"/>
        </w:rPr>
        <w:t>UoA</w:t>
      </w:r>
      <w:proofErr w:type="spellEnd"/>
      <w:r>
        <w:rPr>
          <w:rFonts w:eastAsia="Times New Roman"/>
          <w:lang w:eastAsia="en-GB"/>
        </w:rPr>
        <w:t xml:space="preserve"> descriptor or descriptors the output falls within. For Units that the College is returning to, outputs flagged as falling under more than one </w:t>
      </w:r>
      <w:proofErr w:type="spellStart"/>
      <w:r>
        <w:rPr>
          <w:rFonts w:eastAsia="Times New Roman"/>
          <w:lang w:eastAsia="en-GB"/>
        </w:rPr>
        <w:t>UoA</w:t>
      </w:r>
      <w:proofErr w:type="spellEnd"/>
      <w:r>
        <w:rPr>
          <w:rFonts w:eastAsia="Times New Roman"/>
          <w:lang w:eastAsia="en-GB"/>
        </w:rPr>
        <w:t xml:space="preserve"> will be passed to the other </w:t>
      </w:r>
      <w:proofErr w:type="spellStart"/>
      <w:r>
        <w:rPr>
          <w:rFonts w:eastAsia="Times New Roman"/>
          <w:lang w:eastAsia="en-GB"/>
        </w:rPr>
        <w:t>UoAs</w:t>
      </w:r>
      <w:proofErr w:type="spellEnd"/>
      <w:r>
        <w:rPr>
          <w:rFonts w:eastAsia="Times New Roman"/>
          <w:lang w:eastAsia="en-GB"/>
        </w:rPr>
        <w:t xml:space="preserve"> reading group for consideration, or for Units the College is not returning to this will indicate where cross-referral may be required. As much as possible this will be done in real time so that all </w:t>
      </w:r>
      <w:proofErr w:type="spellStart"/>
      <w:r>
        <w:rPr>
          <w:rFonts w:eastAsia="Times New Roman"/>
          <w:lang w:eastAsia="en-GB"/>
        </w:rPr>
        <w:t>UoAs</w:t>
      </w:r>
      <w:proofErr w:type="spellEnd"/>
      <w:r>
        <w:rPr>
          <w:rFonts w:eastAsia="Times New Roman"/>
          <w:lang w:eastAsia="en-GB"/>
        </w:rPr>
        <w:t xml:space="preserve"> can consider suitable outputs at the agreed assessment points. However, we recognise the possibility that an output may be identified towards the end of the process and there may not be enough time for the output to be read and assessed to be included in the third (of three) selection meeting. In these </w:t>
      </w:r>
      <w:proofErr w:type="gramStart"/>
      <w:r>
        <w:rPr>
          <w:rFonts w:eastAsia="Times New Roman"/>
          <w:lang w:eastAsia="en-GB"/>
        </w:rPr>
        <w:t>cases</w:t>
      </w:r>
      <w:proofErr w:type="gramEnd"/>
      <w:r>
        <w:rPr>
          <w:rFonts w:eastAsia="Times New Roman"/>
          <w:lang w:eastAsia="en-GB"/>
        </w:rPr>
        <w:t xml:space="preserve"> the process described in paragraph 5.5.6 will be followed.</w:t>
      </w:r>
    </w:p>
    <w:p w14:paraId="10EA1C9E" w14:textId="77777777" w:rsidR="00B87F02" w:rsidRDefault="00B87F02">
      <w:pPr>
        <w:pStyle w:val="ListParagraph"/>
        <w:numPr>
          <w:ilvl w:val="1"/>
          <w:numId w:val="18"/>
        </w:numPr>
        <w:spacing w:before="240" w:after="0"/>
        <w:ind w:left="357" w:hanging="357"/>
      </w:pPr>
      <w:r>
        <w:rPr>
          <w:rFonts w:eastAsia="Times New Roman"/>
          <w:b/>
          <w:bCs/>
          <w:lang w:eastAsia="en-GB"/>
        </w:rPr>
        <w:t xml:space="preserve">Policies and Procedures for ensuring submissions are representative of the research undertaken within the submitting unit during the REF period including </w:t>
      </w:r>
      <w:r>
        <w:rPr>
          <w:rFonts w:eastAsia="Arial"/>
          <w:b/>
          <w:bCs/>
        </w:rPr>
        <w:t>Policies and procedures and responsible research assessment practice</w:t>
      </w:r>
    </w:p>
    <w:p w14:paraId="00588CCE" w14:textId="77777777" w:rsidR="00B87F02" w:rsidRDefault="00B87F02">
      <w:pPr>
        <w:spacing w:after="0"/>
        <w:ind w:left="360"/>
      </w:pPr>
      <w:r>
        <w:rPr>
          <w:rFonts w:eastAsia="Times New Roman"/>
          <w:color w:val="002060"/>
          <w:sz w:val="22"/>
          <w:lang w:eastAsia="en-GB"/>
        </w:rPr>
        <w:t>Outlining the processes that will be undertaken to ensure that submitted outputs are reflective of the research strategies and structures, the diversity of research outputs, and contributions, collaborations and partnerships of the submitting unit and the unit’s research strategies</w:t>
      </w:r>
    </w:p>
    <w:p w14:paraId="08361EDD" w14:textId="77777777" w:rsidR="00B87F02" w:rsidRDefault="00B87F02">
      <w:pPr>
        <w:pStyle w:val="ListParagraph"/>
        <w:numPr>
          <w:ilvl w:val="2"/>
          <w:numId w:val="19"/>
        </w:numPr>
        <w:spacing w:before="200" w:after="0"/>
      </w:pPr>
      <w:r>
        <w:t xml:space="preserve">Paragraphs 5.5.2-5.5.7 describe what our approach to selecting outputs will be and how we will ensure that the output pool is representative of all our research areas. </w:t>
      </w:r>
    </w:p>
    <w:p w14:paraId="10D48160" w14:textId="77777777" w:rsidR="00B87F02" w:rsidRDefault="00B87F02">
      <w:pPr>
        <w:pStyle w:val="ListParagraph"/>
        <w:numPr>
          <w:ilvl w:val="2"/>
          <w:numId w:val="19"/>
        </w:numPr>
        <w:spacing w:before="200" w:after="0"/>
      </w:pPr>
      <w:r>
        <w:t xml:space="preserve">Section 5.6 details the training we will provide to ensure that the output pool is selected responsibly and fairly. </w:t>
      </w:r>
    </w:p>
    <w:p w14:paraId="557630E5" w14:textId="1C169F9C" w:rsidR="00B87F02" w:rsidRDefault="00B87F02">
      <w:pPr>
        <w:pStyle w:val="ListParagraph"/>
        <w:numPr>
          <w:ilvl w:val="2"/>
          <w:numId w:val="19"/>
        </w:numPr>
        <w:spacing w:before="200" w:after="0"/>
      </w:pPr>
      <w:r>
        <w:t xml:space="preserve">We do not anticipate that we will have any outputs in British Sign Language, Welsh, or any of the other recognised languages (Scottish Gaelic, Scots, Ulster Scots, Irish or Irish Sign Language). In the event we identify any </w:t>
      </w:r>
      <w:proofErr w:type="gramStart"/>
      <w:r>
        <w:t>outputs</w:t>
      </w:r>
      <w:proofErr w:type="gramEnd"/>
      <w:r>
        <w:t xml:space="preserve"> in this area we will take specific advice to ensure we have the necessary legal protections in place, including in terms of any necessary EIA analysis.</w:t>
      </w:r>
      <w:r w:rsidR="00267A4E">
        <w:t xml:space="preserve"> </w:t>
      </w:r>
    </w:p>
    <w:p w14:paraId="2ACDA58A" w14:textId="341F8F65" w:rsidR="00B87F02" w:rsidRDefault="00B87F02">
      <w:pPr>
        <w:pStyle w:val="ListParagraph"/>
        <w:numPr>
          <w:ilvl w:val="1"/>
          <w:numId w:val="18"/>
        </w:numPr>
        <w:spacing w:before="360" w:after="0"/>
        <w:ind w:left="357" w:hanging="357"/>
        <w:rPr>
          <w:rFonts w:eastAsia="Times New Roman"/>
          <w:b/>
          <w:bCs/>
          <w:lang w:eastAsia="en-GB"/>
        </w:rPr>
      </w:pPr>
      <w:r>
        <w:rPr>
          <w:rFonts w:eastAsia="Times New Roman"/>
          <w:b/>
          <w:bCs/>
          <w:lang w:eastAsia="en-GB"/>
        </w:rPr>
        <w:t>Staff, Committees, and Training:</w:t>
      </w:r>
    </w:p>
    <w:p w14:paraId="2E546F3C" w14:textId="77777777" w:rsidR="00B87F02" w:rsidRDefault="00B87F02">
      <w:pPr>
        <w:spacing w:before="100" w:after="100"/>
        <w:ind w:left="360"/>
      </w:pPr>
      <w:r>
        <w:rPr>
          <w:rFonts w:eastAsia="Times New Roman"/>
          <w:i/>
          <w:iCs/>
          <w:color w:val="002060"/>
          <w:sz w:val="22"/>
          <w:lang w:eastAsia="en-GB"/>
        </w:rPr>
        <w:t>If this section is the same as Part 2 or 3, please just refer to the earlier text.</w:t>
      </w:r>
    </w:p>
    <w:p w14:paraId="783C0AF0" w14:textId="77777777" w:rsidR="00B87F02" w:rsidRDefault="00B87F02">
      <w:pPr>
        <w:spacing w:before="100" w:after="100"/>
        <w:ind w:left="360"/>
      </w:pPr>
      <w:r>
        <w:rPr>
          <w:rFonts w:eastAsia="Times New Roman"/>
          <w:b/>
          <w:bCs/>
          <w:color w:val="002060"/>
          <w:sz w:val="22"/>
          <w:lang w:eastAsia="en-GB"/>
        </w:rPr>
        <w:t xml:space="preserve">Roles and </w:t>
      </w:r>
      <w:proofErr w:type="gramStart"/>
      <w:r>
        <w:rPr>
          <w:rFonts w:eastAsia="Times New Roman"/>
          <w:b/>
          <w:bCs/>
          <w:color w:val="002060"/>
          <w:sz w:val="22"/>
          <w:lang w:eastAsia="en-GB"/>
        </w:rPr>
        <w:t>Responsibilities</w:t>
      </w:r>
      <w:r>
        <w:rPr>
          <w:rFonts w:eastAsia="Times New Roman"/>
          <w:color w:val="002060"/>
          <w:sz w:val="22"/>
          <w:lang w:eastAsia="en-GB"/>
        </w:rPr>
        <w:t>:.</w:t>
      </w:r>
      <w:proofErr w:type="gramEnd"/>
      <w:r>
        <w:rPr>
          <w:rFonts w:eastAsia="Times New Roman"/>
          <w:color w:val="002060"/>
          <w:sz w:val="22"/>
          <w:lang w:eastAsia="en-GB"/>
        </w:rPr>
        <w:t xml:space="preserve"> </w:t>
      </w:r>
    </w:p>
    <w:p w14:paraId="327C9798" w14:textId="77777777" w:rsidR="00B87F02" w:rsidRDefault="00B87F02">
      <w:pPr>
        <w:spacing w:before="100" w:after="100"/>
        <w:ind w:left="360"/>
      </w:pPr>
      <w:r>
        <w:rPr>
          <w:rFonts w:eastAsia="Times New Roman"/>
          <w:b/>
          <w:bCs/>
          <w:color w:val="002060"/>
          <w:sz w:val="22"/>
          <w:lang w:eastAsia="en-GB"/>
        </w:rPr>
        <w:t>Training</w:t>
      </w:r>
      <w:r>
        <w:rPr>
          <w:rFonts w:eastAsia="Times New Roman"/>
          <w:color w:val="002060"/>
          <w:sz w:val="22"/>
          <w:lang w:eastAsia="en-GB"/>
        </w:rPr>
        <w:t>: Detail training provided.</w:t>
      </w:r>
    </w:p>
    <w:p w14:paraId="70D0662D" w14:textId="11F89A1D" w:rsidR="00B87F02" w:rsidRDefault="00B87F02">
      <w:pPr>
        <w:pStyle w:val="ListParagraph"/>
        <w:numPr>
          <w:ilvl w:val="2"/>
          <w:numId w:val="113"/>
        </w:numPr>
        <w:ind w:left="720" w:hanging="153"/>
        <w:rPr>
          <w:lang w:eastAsia="en-GB"/>
        </w:rPr>
      </w:pPr>
      <w:r>
        <w:rPr>
          <w:lang w:eastAsia="en-GB"/>
        </w:rPr>
        <w:t xml:space="preserve">The staff and Committees involved are as described in Part 1.1.3 which also defines the roles and responsibilities of individuals and </w:t>
      </w:r>
      <w:proofErr w:type="gramStart"/>
      <w:r>
        <w:rPr>
          <w:lang w:eastAsia="en-GB"/>
        </w:rPr>
        <w:t>committees, and</w:t>
      </w:r>
      <w:proofErr w:type="gramEnd"/>
      <w:r>
        <w:rPr>
          <w:lang w:eastAsia="en-GB"/>
        </w:rPr>
        <w:t xml:space="preserve"> distinguishes between advisory and decision-making roles. </w:t>
      </w:r>
    </w:p>
    <w:p w14:paraId="66FD3FBA" w14:textId="5457681D" w:rsidR="00B87F02" w:rsidRPr="00802E9D" w:rsidRDefault="00B87F02">
      <w:pPr>
        <w:pStyle w:val="ListParagraph"/>
        <w:numPr>
          <w:ilvl w:val="1"/>
          <w:numId w:val="18"/>
        </w:numPr>
        <w:spacing w:before="360" w:after="0"/>
        <w:ind w:left="357" w:hanging="357"/>
        <w:rPr>
          <w:rFonts w:eastAsia="Times New Roman"/>
          <w:b/>
          <w:bCs/>
          <w:lang w:eastAsia="en-GB"/>
        </w:rPr>
      </w:pPr>
      <w:r>
        <w:rPr>
          <w:rFonts w:eastAsia="Times New Roman"/>
          <w:b/>
          <w:bCs/>
          <w:lang w:eastAsia="en-GB"/>
        </w:rPr>
        <w:t xml:space="preserve">Roles and Responsibilities </w:t>
      </w:r>
      <w:r w:rsidRPr="00802E9D">
        <w:rPr>
          <w:rFonts w:eastAsia="Times New Roman"/>
          <w:color w:val="002060"/>
          <w:lang w:eastAsia="en-GB"/>
        </w:rPr>
        <w:t>Define roles and responsibilities of individuals and committees, distinguishing between advisory and decision-making roles</w:t>
      </w:r>
    </w:p>
    <w:p w14:paraId="5AEACBFA" w14:textId="3848B1DC" w:rsidR="00B87F02" w:rsidRDefault="00B87F02">
      <w:pPr>
        <w:pStyle w:val="ListParagraph"/>
        <w:numPr>
          <w:ilvl w:val="2"/>
          <w:numId w:val="114"/>
        </w:numPr>
        <w:ind w:left="743" w:hanging="176"/>
      </w:pPr>
      <w:r>
        <w:t>The process to select outputs will be as described in paragraphs 5.5.2 – 5.5.7 below.</w:t>
      </w:r>
    </w:p>
    <w:p w14:paraId="265CD759" w14:textId="57DC201C" w:rsidR="00B87F02" w:rsidRDefault="00B87F02">
      <w:pPr>
        <w:pStyle w:val="ListParagraph"/>
        <w:numPr>
          <w:ilvl w:val="2"/>
          <w:numId w:val="115"/>
        </w:numPr>
        <w:ind w:left="743" w:hanging="176"/>
      </w:pPr>
      <w:r>
        <w:t xml:space="preserve">The REF lead will work with all the individual academics in the </w:t>
      </w:r>
      <w:proofErr w:type="spellStart"/>
      <w:r>
        <w:t>UoA</w:t>
      </w:r>
      <w:proofErr w:type="spellEnd"/>
      <w:r>
        <w:t xml:space="preserve"> to identify a suitable selection of outputs to be considered. No type of output will be prioritised over any other and only those Units where the sub panel has indicated that they will use proxy metrics will be allowed to do so, and in a manner which is consistent with how the specific REF sub-panel will treat such data, an approach intended to be in line with sector best practice. We recognise that some </w:t>
      </w:r>
      <w:proofErr w:type="gramStart"/>
      <w:r>
        <w:t>output-types</w:t>
      </w:r>
      <w:proofErr w:type="gramEnd"/>
      <w:r>
        <w:t xml:space="preserve"> (e.g. practice-based, </w:t>
      </w:r>
      <w:proofErr w:type="spellStart"/>
      <w:r>
        <w:t>non text</w:t>
      </w:r>
      <w:proofErr w:type="spellEnd"/>
      <w:r>
        <w:t xml:space="preserve">) may need to be considered before the output is fully developed and recognise the need for reading groups to assess these </w:t>
      </w:r>
      <w:proofErr w:type="gramStart"/>
      <w:r>
        <w:t>outputs</w:t>
      </w:r>
      <w:proofErr w:type="gramEnd"/>
      <w:r>
        <w:t xml:space="preserve"> </w:t>
      </w:r>
      <w:r>
        <w:lastRenderedPageBreak/>
        <w:t xml:space="preserve">types appropriately. These reading groups should include outputs of this type in their calibration exercises to mitigate this risk. </w:t>
      </w:r>
    </w:p>
    <w:p w14:paraId="6842B512" w14:textId="32C8AE2F" w:rsidR="00B87F02" w:rsidRDefault="00B87F02">
      <w:pPr>
        <w:pStyle w:val="ListParagraph"/>
        <w:numPr>
          <w:ilvl w:val="2"/>
          <w:numId w:val="116"/>
        </w:numPr>
        <w:ind w:left="743" w:hanging="176"/>
      </w:pPr>
      <w:r>
        <w:t xml:space="preserve">All outputs under consideration for REF will be read and graded by the relevant Unit of Assessment reading group, following the panel-relevant criteria given in the guidance from Research England. All outputs will be considered by at least two people, although with long form outputs an element of sampling may be used where appropriate. This initial ranking will follow the REF 1*-4* grading structure used by the REF panels, however for outputs in the 2* and 3* bracket a finer grading will be required and these outputs should be graded as 2/3*+ (plus), 2/3* and 2/3*- (minus) giving eight bands in total. </w:t>
      </w:r>
    </w:p>
    <w:p w14:paraId="6744FFFE" w14:textId="57CF1D03" w:rsidR="00B87F02" w:rsidRDefault="00B87F02">
      <w:pPr>
        <w:pStyle w:val="ListParagraph"/>
        <w:numPr>
          <w:ilvl w:val="2"/>
          <w:numId w:val="117"/>
        </w:numPr>
        <w:ind w:left="743" w:hanging="317"/>
      </w:pPr>
      <w:r>
        <w:t xml:space="preserve">The reading group will select </w:t>
      </w:r>
      <w:proofErr w:type="gramStart"/>
      <w:r>
        <w:t>outputs</w:t>
      </w:r>
      <w:proofErr w:type="gramEnd"/>
      <w:r>
        <w:t xml:space="preserve"> as follows: </w:t>
      </w:r>
    </w:p>
    <w:p w14:paraId="544AC5B8" w14:textId="77777777" w:rsidR="00B87F02" w:rsidRDefault="00B87F02" w:rsidP="003D2CD9">
      <w:pPr>
        <w:spacing w:after="200"/>
        <w:ind w:left="1166"/>
      </w:pPr>
      <w:r>
        <w:rPr>
          <w:sz w:val="22"/>
          <w:lang w:eastAsia="en-GB"/>
        </w:rPr>
        <w:t xml:space="preserve">Stage 1: the highest graded output from </w:t>
      </w:r>
      <w:proofErr w:type="gramStart"/>
      <w:r>
        <w:rPr>
          <w:sz w:val="22"/>
          <w:lang w:eastAsia="en-GB"/>
        </w:rPr>
        <w:t>each individual</w:t>
      </w:r>
      <w:proofErr w:type="gramEnd"/>
      <w:r>
        <w:rPr>
          <w:sz w:val="22"/>
          <w:lang w:eastAsia="en-GB"/>
        </w:rPr>
        <w:t xml:space="preserve"> will be selected </w:t>
      </w:r>
    </w:p>
    <w:p w14:paraId="58DE1365" w14:textId="34F256FA" w:rsidR="00B87F02" w:rsidRDefault="00B87F02" w:rsidP="003D2CD9">
      <w:pPr>
        <w:spacing w:after="200"/>
        <w:ind w:left="1166"/>
        <w:rPr>
          <w:sz w:val="22"/>
          <w:lang w:eastAsia="en-GB"/>
        </w:rPr>
      </w:pPr>
      <w:r>
        <w:rPr>
          <w:sz w:val="22"/>
          <w:lang w:eastAsia="en-GB"/>
        </w:rPr>
        <w:t xml:space="preserve">Stage 2: the remaining output pool will be selected by working down the grades from 4*, ensuring that no more than 5% of the selected </w:t>
      </w:r>
      <w:proofErr w:type="gramStart"/>
      <w:r>
        <w:rPr>
          <w:sz w:val="22"/>
          <w:lang w:eastAsia="en-GB"/>
        </w:rPr>
        <w:t>outputs do</w:t>
      </w:r>
      <w:proofErr w:type="gramEnd"/>
      <w:r>
        <w:rPr>
          <w:sz w:val="22"/>
          <w:lang w:eastAsia="en-GB"/>
        </w:rPr>
        <w:t xml:space="preserve"> not comply with the REF Open Access Policy.</w:t>
      </w:r>
      <w:r w:rsidR="00267A4E">
        <w:rPr>
          <w:sz w:val="22"/>
          <w:lang w:eastAsia="en-GB"/>
        </w:rPr>
        <w:t xml:space="preserve"> </w:t>
      </w:r>
    </w:p>
    <w:p w14:paraId="07227B86" w14:textId="77777777" w:rsidR="00B87F02" w:rsidRDefault="00B87F02" w:rsidP="003D2CD9">
      <w:pPr>
        <w:spacing w:after="200"/>
        <w:ind w:left="1166"/>
      </w:pPr>
      <w:r>
        <w:rPr>
          <w:sz w:val="22"/>
          <w:lang w:eastAsia="en-GB"/>
        </w:rPr>
        <w:t xml:space="preserve">Stage 3: When the lowest grade band that needs to be used is reached the outputs in that band will be re-considered alongside all the feedback relating to these outputs which was provided to the reading exercise to produce a ranked list. This feedback will include different scores from different reviewers, any commentary provided to justify the score, plus any other calibration work done by the reading panel such as referral to subject experts within or outside the College. Where necessary members of the reading group will read these outputs and review the associated material from the perspective of the panel descriptors provided by the relevant sub panel. The reading group will then make the final selection from these outputs using criteria which relate solely to the quality of the output in terms of its originality, significance and rigour. In the event that the initially selected set of outputs includes more than 5% of outputs which do not comply with the open access policy, the reading group should adjust their selection so that the highest quality selection is made which does not include more than 5% of outputs which do not comply with the open access policy. The reading group should work on the consensus view. </w:t>
      </w:r>
      <w:proofErr w:type="gramStart"/>
      <w:r>
        <w:rPr>
          <w:sz w:val="22"/>
          <w:lang w:eastAsia="en-GB"/>
        </w:rPr>
        <w:t>In the event that</w:t>
      </w:r>
      <w:proofErr w:type="gramEnd"/>
      <w:r>
        <w:rPr>
          <w:sz w:val="22"/>
          <w:lang w:eastAsia="en-GB"/>
        </w:rPr>
        <w:t xml:space="preserve"> a consensus fails to emerge the reading group should seek advice from REF Working Party who may recommend, for example, bringing in advice from additional readers who are external to the College. </w:t>
      </w:r>
    </w:p>
    <w:p w14:paraId="295EB641" w14:textId="77777777" w:rsidR="00B87F02" w:rsidRDefault="00B87F02" w:rsidP="003D2CD9">
      <w:pPr>
        <w:spacing w:after="200"/>
        <w:ind w:left="1166"/>
        <w:rPr>
          <w:sz w:val="22"/>
          <w:lang w:eastAsia="en-GB"/>
        </w:rPr>
      </w:pPr>
      <w:r>
        <w:rPr>
          <w:sz w:val="22"/>
          <w:lang w:eastAsia="en-GB"/>
        </w:rPr>
        <w:t>The reading group should consider all outputs in the bottom band to be selected in this way. If most (60% or more) of the outputs from this band are to be used, two or three outputs should be selected at random from the next band down (</w:t>
      </w:r>
      <w:proofErr w:type="spellStart"/>
      <w:r>
        <w:rPr>
          <w:sz w:val="22"/>
          <w:lang w:eastAsia="en-GB"/>
        </w:rPr>
        <w:t>i.e</w:t>
      </w:r>
      <w:proofErr w:type="spellEnd"/>
      <w:r>
        <w:rPr>
          <w:sz w:val="22"/>
          <w:lang w:eastAsia="en-GB"/>
        </w:rPr>
        <w:t xml:space="preserve"> the band below the cut-off point) and these should be read with the knowledge that the reading group now has. This is to ensure that this ranking process has been consistently applied across the two bands. Additional support from a reader external to the College may be requested at this point if necessary. For outputs in languages other than English, the </w:t>
      </w:r>
      <w:proofErr w:type="spellStart"/>
      <w:r>
        <w:rPr>
          <w:sz w:val="22"/>
          <w:lang w:eastAsia="en-GB"/>
        </w:rPr>
        <w:t>UoA</w:t>
      </w:r>
      <w:proofErr w:type="spellEnd"/>
      <w:r>
        <w:rPr>
          <w:sz w:val="22"/>
          <w:lang w:eastAsia="en-GB"/>
        </w:rPr>
        <w:t xml:space="preserve"> panel may co-opt additional members as and where necessary to read these outputs effectively. Where necessary, the panel can use the representation of the diversity of the Units research as a mechanism to break ties.</w:t>
      </w:r>
    </w:p>
    <w:p w14:paraId="7C16903A" w14:textId="18AC4B1B" w:rsidR="00B87F02" w:rsidRDefault="00B87F02" w:rsidP="003D2CD9">
      <w:pPr>
        <w:spacing w:after="200"/>
        <w:ind w:left="1166"/>
        <w:rPr>
          <w:sz w:val="22"/>
          <w:lang w:eastAsia="en-GB"/>
        </w:rPr>
      </w:pPr>
      <w:r>
        <w:rPr>
          <w:sz w:val="22"/>
          <w:lang w:eastAsia="en-GB"/>
        </w:rPr>
        <w:t xml:space="preserve">This approach has been designed to reflect principles of equality, fairness and transparency and </w:t>
      </w:r>
      <w:proofErr w:type="gramStart"/>
      <w:r>
        <w:rPr>
          <w:sz w:val="22"/>
          <w:lang w:eastAsia="en-GB"/>
        </w:rPr>
        <w:t>reflects</w:t>
      </w:r>
      <w:proofErr w:type="gramEnd"/>
      <w:r>
        <w:rPr>
          <w:sz w:val="22"/>
          <w:lang w:eastAsia="en-GB"/>
        </w:rPr>
        <w:t xml:space="preserve"> national best practice in research assessment, for example, by being compliant with the DORA principles.</w:t>
      </w:r>
      <w:r w:rsidR="00267A4E">
        <w:rPr>
          <w:sz w:val="22"/>
          <w:lang w:eastAsia="en-GB"/>
        </w:rPr>
        <w:t xml:space="preserve"> </w:t>
      </w:r>
    </w:p>
    <w:p w14:paraId="2EE6FBF5" w14:textId="26CFA279" w:rsidR="00B87F02" w:rsidRDefault="00B87F02">
      <w:pPr>
        <w:pStyle w:val="ListParagraph"/>
        <w:numPr>
          <w:ilvl w:val="0"/>
          <w:numId w:val="118"/>
        </w:numPr>
        <w:ind w:left="743" w:hanging="743"/>
      </w:pPr>
      <w:r>
        <w:lastRenderedPageBreak/>
        <w:t xml:space="preserve">When an output is recommended for double weighting a reserve output should be included where possible. The reserve output should be the highest quality output(s) </w:t>
      </w:r>
      <w:proofErr w:type="gramStart"/>
      <w:r>
        <w:t>still remaining</w:t>
      </w:r>
      <w:proofErr w:type="gramEnd"/>
      <w:r>
        <w:t xml:space="preserve"> in the output pool. </w:t>
      </w:r>
    </w:p>
    <w:p w14:paraId="730E231E" w14:textId="3EBCF192" w:rsidR="00B87F02" w:rsidRDefault="00B87F02">
      <w:pPr>
        <w:pStyle w:val="ListParagraph"/>
        <w:numPr>
          <w:ilvl w:val="0"/>
          <w:numId w:val="119"/>
        </w:numPr>
        <w:ind w:left="743" w:hanging="743"/>
      </w:pPr>
      <w:r>
        <w:t xml:space="preserve">Drawing on this exercise, the reading group will provide a written recommendation to the </w:t>
      </w:r>
      <w:proofErr w:type="spellStart"/>
      <w:r>
        <w:t>UoA</w:t>
      </w:r>
      <w:proofErr w:type="spellEnd"/>
      <w:r>
        <w:t xml:space="preserve"> Panel, who will make the checks described in paragraph 1.1.3.12 and then pass the recommendation and any identified concerns to the REF Working Party. The REF Working Party will then confirm the output pool selected for submission. The </w:t>
      </w:r>
      <w:proofErr w:type="spellStart"/>
      <w:r>
        <w:t>UoA</w:t>
      </w:r>
      <w:proofErr w:type="spellEnd"/>
      <w:r>
        <w:t xml:space="preserve"> panel also makes recommendations about staff members or individual outputs to be considered for cross-referral, and where an output </w:t>
      </w:r>
      <w:proofErr w:type="gramStart"/>
      <w:r>
        <w:t>is considered to be</w:t>
      </w:r>
      <w:proofErr w:type="gramEnd"/>
      <w:r>
        <w:t xml:space="preserve"> within the </w:t>
      </w:r>
      <w:proofErr w:type="spellStart"/>
      <w:r>
        <w:t>UoA</w:t>
      </w:r>
      <w:proofErr w:type="spellEnd"/>
      <w:r>
        <w:t xml:space="preserve"> descriptor for more than one </w:t>
      </w:r>
      <w:proofErr w:type="spellStart"/>
      <w:r>
        <w:t>UoA</w:t>
      </w:r>
      <w:proofErr w:type="spellEnd"/>
      <w:r>
        <w:t xml:space="preserve">, as described in paragraph 5.2.1. </w:t>
      </w:r>
    </w:p>
    <w:p w14:paraId="6B505F89" w14:textId="5722203C" w:rsidR="00B87F02" w:rsidRDefault="00B87F02">
      <w:pPr>
        <w:pStyle w:val="ListParagraph"/>
        <w:numPr>
          <w:ilvl w:val="0"/>
          <w:numId w:val="120"/>
        </w:numPr>
        <w:ind w:left="743" w:hanging="743"/>
      </w:pPr>
      <w:r>
        <w:t xml:space="preserve">It is inevitable that some outputs will appear in the public domain after the formal reading process has </w:t>
      </w:r>
      <w:proofErr w:type="gramStart"/>
      <w:r>
        <w:t>concluded</w:t>
      </w:r>
      <w:proofErr w:type="gramEnd"/>
      <w:r>
        <w:t xml:space="preserve">, and where the reading group was not able to review a draft version of the output via its standard processes. In this case, the REF lead should allocate two readers for the output and based on the outcome of their review make a judgement whether this output is of a sufficiently high standard to warrant inclusion in </w:t>
      </w:r>
      <w:proofErr w:type="gramStart"/>
      <w:r>
        <w:t>the return</w:t>
      </w:r>
      <w:proofErr w:type="gramEnd"/>
      <w:r>
        <w:t xml:space="preserve">. The REF lead should consult with the members of the reading group as necessary in reaching this determination and, where a change is required, can submit a request to change the output pool to REF Working Party. If this occurs after the last scheduled REF Working Party before the Submission then the REF Strategy Group can make the determination virtually following the established processes for that Committee, or the DVC (Research and Innovation) can take a judgement by </w:t>
      </w:r>
      <w:proofErr w:type="gramStart"/>
      <w:r>
        <w:t>chairs action</w:t>
      </w:r>
      <w:proofErr w:type="gramEnd"/>
      <w:r>
        <w:t xml:space="preserve"> if necessary. It is expected that this process will only be used for a very small number of outputs (1 in REF 2021). </w:t>
      </w:r>
    </w:p>
    <w:p w14:paraId="684C0229" w14:textId="126BA4A8" w:rsidR="00B87F02" w:rsidRDefault="00B87F02">
      <w:pPr>
        <w:pStyle w:val="ListParagraph"/>
        <w:numPr>
          <w:ilvl w:val="0"/>
          <w:numId w:val="121"/>
        </w:numPr>
        <w:ind w:left="743" w:hanging="743"/>
      </w:pPr>
      <w:proofErr w:type="gramStart"/>
      <w:r>
        <w:t>In order to</w:t>
      </w:r>
      <w:proofErr w:type="gramEnd"/>
      <w:r>
        <w:t xml:space="preserve"> ensure that suitable </w:t>
      </w:r>
      <w:proofErr w:type="gramStart"/>
      <w:r>
        <w:t>outputs</w:t>
      </w:r>
      <w:proofErr w:type="gramEnd"/>
      <w:r>
        <w:t xml:space="preserve"> from research enabling staff </w:t>
      </w:r>
      <w:proofErr w:type="gramStart"/>
      <w:r>
        <w:t>are</w:t>
      </w:r>
      <w:proofErr w:type="gramEnd"/>
      <w:r>
        <w:t xml:space="preserve"> identified and considered, information about the REF selection process will be </w:t>
      </w:r>
      <w:proofErr w:type="gramStart"/>
      <w:r>
        <w:t>included in</w:t>
      </w:r>
      <w:proofErr w:type="gramEnd"/>
      <w:r>
        <w:t xml:space="preserve"> inside the Birkbeck Community. In addition, a request will be put to Directors (or research leads for technical staff e.g. in labs) in all areas to pass on an email from the DVC (Research and Innovation) to encourage colleagues to notify the College if they think they may have a suitable output to be </w:t>
      </w:r>
      <w:proofErr w:type="gramStart"/>
      <w:r>
        <w:t>considered, and</w:t>
      </w:r>
      <w:proofErr w:type="gramEnd"/>
      <w:r>
        <w:t xml:space="preserve"> inviting all these colleagues to a REF information session which is specifically targeted at Research enabling staff. This information will be shared three times, in Term 2 or 3 in 26/27 and in term 1 in 27/28. </w:t>
      </w:r>
    </w:p>
    <w:p w14:paraId="46DE7CF0" w14:textId="6317170B" w:rsidR="00B87F02" w:rsidRDefault="00B87F02">
      <w:pPr>
        <w:pStyle w:val="ListParagraph"/>
        <w:numPr>
          <w:ilvl w:val="0"/>
          <w:numId w:val="122"/>
        </w:numPr>
        <w:ind w:left="743" w:hanging="743"/>
      </w:pPr>
      <w:r>
        <w:t xml:space="preserve">The choice of which outputs to include is a matter of academic judgement, and as such there is no appeal for the selection of outputs; however, if an individual has concerns about how the output selection process is being run in their </w:t>
      </w:r>
      <w:proofErr w:type="spellStart"/>
      <w:r>
        <w:t>UoA</w:t>
      </w:r>
      <w:proofErr w:type="spellEnd"/>
      <w:r>
        <w:t xml:space="preserve"> then they should contact the Deputy Vice Chancellor (Research &amp; Innovation) for advice in the first instance.</w:t>
      </w:r>
    </w:p>
    <w:p w14:paraId="22D4E0B2" w14:textId="75F333C1" w:rsidR="00B87F02" w:rsidRDefault="00B87F02">
      <w:pPr>
        <w:pStyle w:val="ListParagraph"/>
        <w:numPr>
          <w:ilvl w:val="0"/>
          <w:numId w:val="123"/>
        </w:numPr>
        <w:ind w:left="743" w:hanging="743"/>
      </w:pPr>
      <w:r>
        <w:t>Research England will also provide a mechanism by which individuals can express concerns that the Code of Practice is not being applied correctly, and (when available) this can be accessed through the REF2029.ac.uk website. Please contact the Director of Research</w:t>
      </w:r>
      <w:r w:rsidR="00267A4E">
        <w:t xml:space="preserve"> </w:t>
      </w:r>
      <w:r>
        <w:t xml:space="preserve">in the first instance if you need help accessing this information. </w:t>
      </w:r>
    </w:p>
    <w:p w14:paraId="74014CCA" w14:textId="08E36DAA" w:rsidR="00B87F02" w:rsidRDefault="00B87F02">
      <w:pPr>
        <w:pStyle w:val="ListParagraph"/>
        <w:numPr>
          <w:ilvl w:val="0"/>
          <w:numId w:val="124"/>
        </w:numPr>
        <w:ind w:left="743" w:hanging="743"/>
      </w:pPr>
      <w:proofErr w:type="gramStart"/>
      <w:r>
        <w:t>In order to</w:t>
      </w:r>
      <w:proofErr w:type="gramEnd"/>
      <w:r>
        <w:t xml:space="preserve"> </w:t>
      </w:r>
      <w:proofErr w:type="spellStart"/>
      <w:r>
        <w:t>minimise</w:t>
      </w:r>
      <w:proofErr w:type="spellEnd"/>
      <w:r>
        <w:t xml:space="preserve"> burden the College does not expect that individual academics will routinely be sent feedback about outputs which have been read, but if any individual requests feedback from the REF </w:t>
      </w:r>
      <w:proofErr w:type="gramStart"/>
      <w:r>
        <w:t>lead</w:t>
      </w:r>
      <w:proofErr w:type="gramEnd"/>
      <w:r>
        <w:t xml:space="preserve"> then this should be provided. </w:t>
      </w:r>
    </w:p>
    <w:p w14:paraId="22993C11" w14:textId="540B1B4F" w:rsidR="00B87F02" w:rsidRDefault="00B87F02" w:rsidP="00B63D4A">
      <w:pPr>
        <w:ind w:left="743"/>
        <w:rPr>
          <w:sz w:val="22"/>
        </w:rPr>
      </w:pPr>
      <w:r>
        <w:rPr>
          <w:sz w:val="22"/>
        </w:rPr>
        <w:t xml:space="preserve">The College notes that this type of feedback can be particularly valuable to more junior staff, especially those individuals who have not been through a REF exercise before and would encourage all staff in this group to ask for feedback. </w:t>
      </w:r>
    </w:p>
    <w:p w14:paraId="47FE19C8" w14:textId="492375D6" w:rsidR="00B87F02" w:rsidRDefault="00B87F02" w:rsidP="00B63D4A">
      <w:pPr>
        <w:ind w:left="743"/>
        <w:rPr>
          <w:sz w:val="22"/>
        </w:rPr>
      </w:pPr>
      <w:r>
        <w:rPr>
          <w:sz w:val="22"/>
        </w:rPr>
        <w:lastRenderedPageBreak/>
        <w:t xml:space="preserve">Any feedback provided by the </w:t>
      </w:r>
      <w:proofErr w:type="spellStart"/>
      <w:r>
        <w:rPr>
          <w:sz w:val="22"/>
        </w:rPr>
        <w:t>UoA</w:t>
      </w:r>
      <w:proofErr w:type="spellEnd"/>
      <w:r>
        <w:rPr>
          <w:sz w:val="22"/>
        </w:rPr>
        <w:t xml:space="preserve"> should be constructive and should reflect the tenor of the discussions about the outputs as well as the overall score allocated by the reading group or </w:t>
      </w:r>
      <w:proofErr w:type="spellStart"/>
      <w:r>
        <w:rPr>
          <w:sz w:val="22"/>
        </w:rPr>
        <w:t>UoA</w:t>
      </w:r>
      <w:proofErr w:type="spellEnd"/>
      <w:r>
        <w:rPr>
          <w:sz w:val="22"/>
        </w:rPr>
        <w:t xml:space="preserve"> panel. It is recognised that it may be appropriate in some cases for the REF lead to use their discretion in providing this feedback (for example, by disregarding outlier reviews if the consensus was that this review was not robust). </w:t>
      </w:r>
    </w:p>
    <w:p w14:paraId="1A01CE1F" w14:textId="706C6383" w:rsidR="00B87F02" w:rsidRDefault="00B87F02" w:rsidP="00B63D4A">
      <w:pPr>
        <w:ind w:left="743"/>
        <w:rPr>
          <w:sz w:val="22"/>
        </w:rPr>
      </w:pPr>
      <w:r>
        <w:rPr>
          <w:sz w:val="22"/>
        </w:rPr>
        <w:t xml:space="preserve">Where possible, feedback to junior colleagues should be provided face-to-face rather than by email. </w:t>
      </w:r>
    </w:p>
    <w:p w14:paraId="7A342A38" w14:textId="49EF6C85" w:rsidR="00B87F02" w:rsidRDefault="00B87F02">
      <w:pPr>
        <w:pStyle w:val="ListParagraph"/>
        <w:numPr>
          <w:ilvl w:val="0"/>
          <w:numId w:val="125"/>
        </w:numPr>
        <w:ind w:left="743" w:hanging="743"/>
      </w:pPr>
      <w:r>
        <w:t xml:space="preserve">This process was discussed and agreed by </w:t>
      </w:r>
      <w:proofErr w:type="spellStart"/>
      <w:r>
        <w:t>UoA</w:t>
      </w:r>
      <w:proofErr w:type="spellEnd"/>
      <w:r>
        <w:t xml:space="preserve"> leads at the REF WP on 16</w:t>
      </w:r>
      <w:r>
        <w:rPr>
          <w:vertAlign w:val="superscript"/>
        </w:rPr>
        <w:t>th</w:t>
      </w:r>
      <w:r>
        <w:t xml:space="preserve"> October 2025 prior to the consultation process being undertaken which is described in section 1 above. Feedback from the consultation was considered and incorporated by REF WP at an extraordinary meeting on 19</w:t>
      </w:r>
      <w:r>
        <w:rPr>
          <w:vertAlign w:val="superscript"/>
        </w:rPr>
        <w:t>th</w:t>
      </w:r>
      <w:r>
        <w:t xml:space="preserve"> November 2025. An updated version of the CoP was agreed by REF WP on 3</w:t>
      </w:r>
      <w:r>
        <w:rPr>
          <w:vertAlign w:val="superscript"/>
        </w:rPr>
        <w:t>rd</w:t>
      </w:r>
      <w:r>
        <w:t xml:space="preserve"> February 2026 following minor refinements following the release of new guidance from Research England in December 2025 before sending for sign off as described in section 1.</w:t>
      </w:r>
    </w:p>
    <w:p w14:paraId="6ADE58CB" w14:textId="3D50FF7D" w:rsidR="00B87F02" w:rsidRDefault="00B87F02">
      <w:pPr>
        <w:pStyle w:val="ListParagraph"/>
        <w:numPr>
          <w:ilvl w:val="0"/>
          <w:numId w:val="126"/>
        </w:numPr>
        <w:ind w:left="743" w:hanging="743"/>
      </w:pPr>
      <w:r>
        <w:t xml:space="preserve">Reading groups and </w:t>
      </w:r>
      <w:proofErr w:type="spellStart"/>
      <w:r>
        <w:t>UoA</w:t>
      </w:r>
      <w:proofErr w:type="spellEnd"/>
      <w:r>
        <w:t xml:space="preserve"> Panels will provide lists of outputs for inclusion to the REF WP at three points across 2026/27 and 2027/28 academic years (deadlines still TBC), but the reports form these meetings must be shared with the secretary to the REF Working Party 2 weeks before the meeting which is scheduled to consider these reports. The draft submission will be amended accordingly after each of these points. All </w:t>
      </w:r>
      <w:proofErr w:type="spellStart"/>
      <w:r>
        <w:t>UoAs</w:t>
      </w:r>
      <w:proofErr w:type="spellEnd"/>
      <w:r>
        <w:t xml:space="preserve"> need to operate to the same timescale to support both bulk uploading to the submission system and so equality impacts can be monitored effectively. </w:t>
      </w:r>
    </w:p>
    <w:p w14:paraId="2178A911" w14:textId="676627EA" w:rsidR="00B87F02" w:rsidRDefault="00B87F02">
      <w:pPr>
        <w:pStyle w:val="ListParagraph"/>
        <w:numPr>
          <w:ilvl w:val="0"/>
          <w:numId w:val="127"/>
        </w:numPr>
        <w:ind w:left="743" w:hanging="743"/>
      </w:pPr>
      <w:r>
        <w:t xml:space="preserve">As a final check by the end of Term 3 2027/28 The Research Strategy Group will review the final recommended selection of outputs against the reports from the </w:t>
      </w:r>
      <w:proofErr w:type="spellStart"/>
      <w:r>
        <w:t>UoA</w:t>
      </w:r>
      <w:proofErr w:type="spellEnd"/>
      <w:r>
        <w:t xml:space="preserve"> Panels to ensure that the Code of Practice has been applied consistently across all the </w:t>
      </w:r>
      <w:proofErr w:type="spellStart"/>
      <w:r>
        <w:t>UoAs</w:t>
      </w:r>
      <w:proofErr w:type="spellEnd"/>
      <w:r>
        <w:t xml:space="preserve">. </w:t>
      </w:r>
    </w:p>
    <w:p w14:paraId="289C548C" w14:textId="77777777" w:rsidR="00B87F02" w:rsidRDefault="00B87F02">
      <w:pPr>
        <w:pStyle w:val="ListParagraph"/>
        <w:numPr>
          <w:ilvl w:val="1"/>
          <w:numId w:val="20"/>
        </w:numPr>
        <w:spacing w:after="0"/>
        <w:rPr>
          <w:b/>
          <w:bCs/>
        </w:rPr>
      </w:pPr>
      <w:r>
        <w:rPr>
          <w:b/>
          <w:bCs/>
        </w:rPr>
        <w:t>Training</w:t>
      </w:r>
    </w:p>
    <w:p w14:paraId="10643AE1" w14:textId="77777777" w:rsidR="00B87F02" w:rsidRDefault="00B87F02">
      <w:pPr>
        <w:spacing w:after="0"/>
        <w:ind w:left="360"/>
      </w:pPr>
      <w:r>
        <w:rPr>
          <w:rFonts w:eastAsia="Times New Roman"/>
          <w:color w:val="002060"/>
          <w:sz w:val="22"/>
          <w:lang w:eastAsia="en-GB"/>
        </w:rPr>
        <w:t>Detail training provided</w:t>
      </w:r>
    </w:p>
    <w:p w14:paraId="56162D2F" w14:textId="77777777" w:rsidR="004409A5" w:rsidRDefault="00B87F02">
      <w:pPr>
        <w:pStyle w:val="ListParagraph"/>
        <w:numPr>
          <w:ilvl w:val="2"/>
          <w:numId w:val="128"/>
        </w:numPr>
        <w:spacing w:before="120"/>
        <w:ind w:left="743" w:hanging="176"/>
      </w:pPr>
      <w:r>
        <w:rPr>
          <w:lang w:eastAsia="en-GB"/>
        </w:rPr>
        <w:t>Paragraphs 1.1.3.18 – 1.1.3.22 describe the overarching training that will be provided</w:t>
      </w:r>
    </w:p>
    <w:p w14:paraId="4BC4C8D8" w14:textId="2BD03765" w:rsidR="00B87F02" w:rsidRDefault="00B87F02">
      <w:pPr>
        <w:pStyle w:val="ListParagraph"/>
        <w:numPr>
          <w:ilvl w:val="2"/>
          <w:numId w:val="128"/>
        </w:numPr>
        <w:ind w:left="743" w:hanging="176"/>
      </w:pPr>
      <w:r>
        <w:t xml:space="preserve">Paragraphs 1.1.3.21 and 1.1.3.22 describe the specific training we will provide to ensure that the output pool is selected responsibly and fairly. </w:t>
      </w:r>
    </w:p>
    <w:p w14:paraId="2FBF7433" w14:textId="3E89AD7E" w:rsidR="00B87F02" w:rsidRPr="00644652" w:rsidRDefault="00B87F02">
      <w:pPr>
        <w:pStyle w:val="ListParagraph"/>
        <w:numPr>
          <w:ilvl w:val="1"/>
          <w:numId w:val="20"/>
        </w:numPr>
        <w:spacing w:after="0"/>
        <w:rPr>
          <w:b/>
          <w:bCs/>
        </w:rPr>
      </w:pPr>
      <w:r w:rsidRPr="00644652">
        <w:rPr>
          <w:b/>
          <w:bCs/>
        </w:rPr>
        <w:t>Equality Impact Assessment (EIA):</w:t>
      </w:r>
    </w:p>
    <w:p w14:paraId="5ED984D8" w14:textId="77777777" w:rsidR="00B87F02" w:rsidRDefault="00B87F02">
      <w:pPr>
        <w:spacing w:before="100" w:after="100"/>
        <w:ind w:left="360"/>
      </w:pPr>
      <w:r>
        <w:rPr>
          <w:rFonts w:eastAsia="Times New Roman"/>
          <w:b/>
          <w:bCs/>
          <w:color w:val="002060"/>
          <w:sz w:val="22"/>
          <w:lang w:eastAsia="en-GB"/>
        </w:rPr>
        <w:t>EIA Integration</w:t>
      </w:r>
      <w:r>
        <w:rPr>
          <w:rFonts w:eastAsia="Times New Roman"/>
          <w:color w:val="002060"/>
          <w:sz w:val="22"/>
          <w:lang w:eastAsia="en-GB"/>
        </w:rPr>
        <w:t>: Demonstrate how EIA informed the selection of outputs and policy/procedure development. Provide information on data, findings, and actions taken.</w:t>
      </w:r>
    </w:p>
    <w:p w14:paraId="3D5775C2" w14:textId="680CBB23" w:rsidR="00B87F02" w:rsidRDefault="00B87F02">
      <w:pPr>
        <w:pStyle w:val="ListParagraph"/>
        <w:numPr>
          <w:ilvl w:val="2"/>
          <w:numId w:val="129"/>
        </w:numPr>
        <w:spacing w:before="240" w:after="120"/>
        <w:ind w:left="743" w:hanging="176"/>
      </w:pPr>
      <w:r>
        <w:t>The College will undertake a baseline diversity report to understand its current constituency from an equality and diversity perspective. See part 6.</w:t>
      </w:r>
      <w:r w:rsidR="00267A4E">
        <w:t xml:space="preserve"> </w:t>
      </w:r>
    </w:p>
    <w:p w14:paraId="378A380E" w14:textId="072D6F3C" w:rsidR="00B87F02" w:rsidRDefault="00B87F02">
      <w:pPr>
        <w:pStyle w:val="ListParagraph"/>
        <w:numPr>
          <w:ilvl w:val="2"/>
          <w:numId w:val="130"/>
        </w:numPr>
        <w:spacing w:after="120"/>
        <w:ind w:left="743" w:hanging="176"/>
      </w:pPr>
      <w:r>
        <w:t xml:space="preserve">As described in paragraph 5.5.12 there are three points at which the College will confirm its latest output selection for the REF. After the first two of these selections, the College REF Equality, Diversity and Inclusion Committee will review the data at the </w:t>
      </w:r>
      <w:proofErr w:type="spellStart"/>
      <w:r>
        <w:t>UoA</w:t>
      </w:r>
      <w:proofErr w:type="spellEnd"/>
      <w:r>
        <w:t xml:space="preserve"> level about the selected outputs in comparison with the baseline diversity report data and the College expectations stated above to consider whether there are any statistically significant anomalies in terms of staff group representation.</w:t>
      </w:r>
    </w:p>
    <w:p w14:paraId="17E68692" w14:textId="75110A0A" w:rsidR="00B87F02" w:rsidRDefault="00B87F02">
      <w:pPr>
        <w:pStyle w:val="ListParagraph"/>
        <w:numPr>
          <w:ilvl w:val="2"/>
          <w:numId w:val="131"/>
        </w:numPr>
        <w:spacing w:after="120"/>
        <w:ind w:left="743" w:hanging="176"/>
      </w:pPr>
      <w:r>
        <w:t xml:space="preserve">Where significant anomalies are </w:t>
      </w:r>
      <w:proofErr w:type="gramStart"/>
      <w:r>
        <w:t>identified</w:t>
      </w:r>
      <w:proofErr w:type="gramEnd"/>
      <w:r>
        <w:t xml:space="preserve"> the Committee will write to the relevant </w:t>
      </w:r>
      <w:proofErr w:type="spellStart"/>
      <w:r>
        <w:t>UoA</w:t>
      </w:r>
      <w:proofErr w:type="spellEnd"/>
      <w:r>
        <w:t xml:space="preserve"> lead, copied </w:t>
      </w:r>
      <w:proofErr w:type="gramStart"/>
      <w:r>
        <w:t>to</w:t>
      </w:r>
      <w:proofErr w:type="gramEnd"/>
      <w:r>
        <w:t xml:space="preserve"> the Director of Research to ensure that the </w:t>
      </w:r>
      <w:proofErr w:type="spellStart"/>
      <w:r>
        <w:t>UoA</w:t>
      </w:r>
      <w:proofErr w:type="spellEnd"/>
      <w:r>
        <w:t xml:space="preserve"> are able to consider this data as part </w:t>
      </w:r>
      <w:r>
        <w:lastRenderedPageBreak/>
        <w:t xml:space="preserve">of their next output selection round. In these circumstances panels will be asked to reflect on </w:t>
      </w:r>
      <w:proofErr w:type="gramStart"/>
      <w:r>
        <w:t>whether or not</w:t>
      </w:r>
      <w:proofErr w:type="gramEnd"/>
      <w:r>
        <w:t xml:space="preserve"> any bias has inadvertently crept into their decision making in addition to following the unconscious bias training for panels at the beginning of each panel. </w:t>
      </w:r>
    </w:p>
    <w:p w14:paraId="0B9D8533" w14:textId="29BB1925" w:rsidR="00B87F02" w:rsidRDefault="00B87F02">
      <w:pPr>
        <w:pStyle w:val="ListParagraph"/>
        <w:numPr>
          <w:ilvl w:val="2"/>
          <w:numId w:val="132"/>
        </w:numPr>
        <w:spacing w:after="120"/>
        <w:ind w:left="743" w:hanging="176"/>
      </w:pPr>
      <w:r>
        <w:t xml:space="preserve">Once the final selection of outputs has been approved by the VC a final equality impact assessment (EIA) will be undertaken which considers aggregate data at the College level. Based on this EIA an action plan will be defined to try and improve the inclusiveness of the College’s submission for the following REF exercise. This action plan will be written by the REF Working </w:t>
      </w:r>
      <w:proofErr w:type="gramStart"/>
      <w:r>
        <w:t>Party</w:t>
      </w:r>
      <w:proofErr w:type="gramEnd"/>
      <w:r>
        <w:t xml:space="preserve"> but the College Equality, Diversity and Inclusion Committee will have responsibility for its implementation. </w:t>
      </w:r>
    </w:p>
    <w:p w14:paraId="1DCF37F8" w14:textId="3F1BAFB2" w:rsidR="00B87F02" w:rsidRDefault="00B87F02">
      <w:pPr>
        <w:pStyle w:val="ListParagraph"/>
        <w:numPr>
          <w:ilvl w:val="2"/>
          <w:numId w:val="133"/>
        </w:numPr>
        <w:ind w:left="743" w:hanging="176"/>
        <w:rPr>
          <w:sz w:val="20"/>
          <w:szCs w:val="20"/>
        </w:rPr>
      </w:pPr>
      <w:r>
        <w:t xml:space="preserve">The College </w:t>
      </w:r>
      <w:bookmarkStart w:id="1" w:name="_Hlk205986596"/>
      <w:r>
        <w:t xml:space="preserve">REF Equality, Diversity and Inclusion Committee </w:t>
      </w:r>
      <w:bookmarkEnd w:id="1"/>
      <w:r>
        <w:t>will comprise the Chair of the College Equality, Diversity and Inclusion Committee (Chair), The Deputy Director of HR and the HR Data Analyst. None of these people are otherwise involved in the REF Selection Process, and the data under review will be fully anonymised statistical data. The Project Manager, HR and Equalities will act as secretary to this group.</w:t>
      </w:r>
      <w:r w:rsidR="00267A4E">
        <w:t xml:space="preserve"> </w:t>
      </w:r>
    </w:p>
    <w:p w14:paraId="6A1892F9" w14:textId="77777777" w:rsidR="00B87F02" w:rsidRDefault="00B87F02" w:rsidP="00F90317">
      <w:pPr>
        <w:pStyle w:val="Heading2"/>
        <w:pBdr>
          <w:top w:val="single" w:sz="4" w:space="1" w:color="auto"/>
        </w:pBdr>
        <w:rPr>
          <w:rFonts w:eastAsia="Times New Roman"/>
          <w:lang w:eastAsia="en-GB"/>
        </w:rPr>
      </w:pPr>
      <w:r>
        <w:rPr>
          <w:rFonts w:eastAsia="Times New Roman"/>
          <w:lang w:eastAsia="en-GB"/>
        </w:rPr>
        <w:t>Part 6: Appendices</w:t>
      </w:r>
    </w:p>
    <w:p w14:paraId="4BCB59C3" w14:textId="77777777" w:rsidR="00B87F02" w:rsidRDefault="00B87F02">
      <w:pPr>
        <w:pStyle w:val="ListParagraph"/>
        <w:numPr>
          <w:ilvl w:val="0"/>
          <w:numId w:val="21"/>
        </w:numPr>
        <w:spacing w:before="100" w:after="100"/>
      </w:pPr>
      <w:r>
        <w:rPr>
          <w:rFonts w:eastAsia="Times New Roman"/>
          <w:b/>
          <w:bCs/>
          <w:lang w:eastAsia="en-GB"/>
        </w:rPr>
        <w:t xml:space="preserve">Equality Impact Assessment: </w:t>
      </w:r>
      <w:r>
        <w:rPr>
          <w:rFonts w:eastAsia="Times New Roman"/>
          <w:lang w:eastAsia="en-GB"/>
        </w:rPr>
        <w:t xml:space="preserve">the baseline EIA will be undertaken at the start of the 26/27 academic year. </w:t>
      </w:r>
    </w:p>
    <w:p w14:paraId="533F589E" w14:textId="77777777" w:rsidR="00B87F02" w:rsidRDefault="00B87F02">
      <w:pPr>
        <w:pStyle w:val="ListParagraph"/>
        <w:numPr>
          <w:ilvl w:val="0"/>
          <w:numId w:val="21"/>
        </w:numPr>
        <w:spacing w:before="100" w:after="100"/>
        <w:rPr>
          <w:rFonts w:eastAsia="Times New Roman"/>
          <w:b/>
          <w:bCs/>
          <w:lang w:eastAsia="en-GB"/>
        </w:rPr>
      </w:pPr>
      <w:r>
        <w:rPr>
          <w:rFonts w:eastAsia="Times New Roman"/>
          <w:b/>
          <w:bCs/>
          <w:lang w:eastAsia="en-GB"/>
        </w:rPr>
        <w:t>Referenced material in the CoP</w:t>
      </w:r>
    </w:p>
    <w:p w14:paraId="10BB975A" w14:textId="77777777" w:rsidR="00593CCD" w:rsidRDefault="00593CCD" w:rsidP="00411BAD">
      <w:pPr>
        <w:autoSpaceDE w:val="0"/>
        <w:spacing w:after="0"/>
        <w:rPr>
          <w:rFonts w:eastAsia="Times New Roman"/>
          <w:b/>
          <w:bCs/>
          <w:sz w:val="22"/>
          <w:lang w:eastAsia="en-GB"/>
        </w:rPr>
        <w:sectPr w:rsidR="00593CCD" w:rsidSect="00454F8B">
          <w:headerReference w:type="first" r:id="rId20"/>
          <w:pgSz w:w="12240" w:h="15840"/>
          <w:pgMar w:top="1134" w:right="1134" w:bottom="1134" w:left="1134"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286"/>
        </w:sectPr>
      </w:pPr>
    </w:p>
    <w:p w14:paraId="753127D1" w14:textId="4D7655A1" w:rsidR="00840FBF" w:rsidRDefault="009071C6" w:rsidP="00593CCD">
      <w:pPr>
        <w:pStyle w:val="Heading2"/>
        <w:spacing w:after="160"/>
        <w:jc w:val="center"/>
      </w:pPr>
      <w:r>
        <w:lastRenderedPageBreak/>
        <w:t xml:space="preserve">Appendix </w:t>
      </w:r>
      <w:r w:rsidR="00EE0545">
        <w:t>2.</w:t>
      </w:r>
      <w:r>
        <w:t>1: REF Working Party Membership and Terms of Reference</w:t>
      </w:r>
    </w:p>
    <w:p w14:paraId="73F6B587" w14:textId="77777777" w:rsidR="00840FBF" w:rsidRPr="00593CCD" w:rsidRDefault="009071C6" w:rsidP="00593CCD">
      <w:pPr>
        <w:pStyle w:val="Heading3"/>
        <w:rPr>
          <w:color w:val="000000" w:themeColor="text1"/>
        </w:rPr>
      </w:pPr>
      <w:r w:rsidRPr="00593CCD">
        <w:rPr>
          <w:color w:val="000000" w:themeColor="text1"/>
        </w:rPr>
        <w:t>Membership</w:t>
      </w:r>
    </w:p>
    <w:p w14:paraId="1D3D714C" w14:textId="1FE40DEE" w:rsidR="00840FBF" w:rsidRDefault="009071C6" w:rsidP="00593CCD">
      <w:pPr>
        <w:spacing w:after="0"/>
        <w:rPr>
          <w:sz w:val="22"/>
        </w:rPr>
      </w:pPr>
      <w:r>
        <w:rPr>
          <w:sz w:val="22"/>
        </w:rPr>
        <w:t xml:space="preserve">Deputy </w:t>
      </w:r>
      <w:proofErr w:type="gramStart"/>
      <w:r>
        <w:rPr>
          <w:sz w:val="22"/>
        </w:rPr>
        <w:t>Vice-Chancellor</w:t>
      </w:r>
      <w:proofErr w:type="gramEnd"/>
      <w:r>
        <w:rPr>
          <w:sz w:val="22"/>
        </w:rPr>
        <w:t xml:space="preserve"> for Research &amp; Innovation </w:t>
      </w:r>
    </w:p>
    <w:p w14:paraId="59302283" w14:textId="77777777" w:rsidR="00840FBF" w:rsidRDefault="009071C6">
      <w:pPr>
        <w:rPr>
          <w:sz w:val="22"/>
        </w:rPr>
      </w:pPr>
      <w:r>
        <w:rPr>
          <w:sz w:val="22"/>
        </w:rPr>
        <w:t>Director of Research/REF Manager</w:t>
      </w:r>
      <w:r>
        <w:rPr>
          <w:sz w:val="22"/>
        </w:rPr>
        <w:tab/>
        <w:t>Sarah Lee</w:t>
      </w:r>
    </w:p>
    <w:p w14:paraId="35E87072" w14:textId="0AF72939" w:rsidR="00840FBF" w:rsidRDefault="009071C6" w:rsidP="00B86602">
      <w:pPr>
        <w:spacing w:before="240" w:after="0"/>
      </w:pPr>
      <w:r>
        <w:rPr>
          <w:b/>
          <w:sz w:val="22"/>
        </w:rPr>
        <w:t>Faculty Directors of Research, Innovation</w:t>
      </w:r>
      <w:r>
        <w:rPr>
          <w:b/>
          <w:sz w:val="22"/>
        </w:rPr>
        <w:tab/>
      </w:r>
      <w:r>
        <w:rPr>
          <w:bCs/>
          <w:sz w:val="22"/>
        </w:rPr>
        <w:t>(B&amp;L</w:t>
      </w:r>
      <w:r>
        <w:rPr>
          <w:sz w:val="22"/>
        </w:rPr>
        <w:t>)</w:t>
      </w:r>
    </w:p>
    <w:p w14:paraId="312E8BC6" w14:textId="2595DEAC" w:rsidR="00840FBF" w:rsidRDefault="009071C6" w:rsidP="00B86602">
      <w:pPr>
        <w:tabs>
          <w:tab w:val="left" w:pos="4962"/>
        </w:tabs>
        <w:spacing w:after="0"/>
      </w:pPr>
      <w:r>
        <w:rPr>
          <w:b/>
          <w:bCs/>
          <w:sz w:val="22"/>
        </w:rPr>
        <w:t xml:space="preserve">&amp; Knowledge </w:t>
      </w:r>
      <w:proofErr w:type="gramStart"/>
      <w:r>
        <w:rPr>
          <w:b/>
          <w:bCs/>
          <w:sz w:val="22"/>
        </w:rPr>
        <w:t>Exchange</w:t>
      </w:r>
      <w:r>
        <w:rPr>
          <w:sz w:val="22"/>
        </w:rPr>
        <w:t xml:space="preserve"> </w:t>
      </w:r>
      <w:r w:rsidR="00593CCD">
        <w:rPr>
          <w:sz w:val="22"/>
        </w:rPr>
        <w:tab/>
      </w:r>
      <w:r>
        <w:rPr>
          <w:sz w:val="22"/>
        </w:rPr>
        <w:t>(</w:t>
      </w:r>
      <w:proofErr w:type="gramEnd"/>
      <w:r>
        <w:rPr>
          <w:sz w:val="22"/>
        </w:rPr>
        <w:t>HSS)</w:t>
      </w:r>
    </w:p>
    <w:p w14:paraId="61B4F3E8" w14:textId="24842910" w:rsidR="00840FBF" w:rsidRDefault="009071C6" w:rsidP="00B86602">
      <w:pPr>
        <w:spacing w:after="0"/>
        <w:ind w:firstLine="4961"/>
      </w:pPr>
      <w:r>
        <w:rPr>
          <w:sz w:val="22"/>
        </w:rPr>
        <w:t>(Sci)</w:t>
      </w:r>
    </w:p>
    <w:p w14:paraId="2D92AB27" w14:textId="7F4E468A" w:rsidR="00840FBF" w:rsidRPr="00593CCD" w:rsidRDefault="009071C6" w:rsidP="00593CCD">
      <w:pPr>
        <w:pStyle w:val="Heading3"/>
        <w:spacing w:before="0"/>
        <w:ind w:left="0" w:firstLine="0"/>
        <w:rPr>
          <w:color w:val="000000" w:themeColor="text1"/>
        </w:rPr>
      </w:pPr>
      <w:r w:rsidRPr="00593CCD">
        <w:rPr>
          <w:color w:val="000000" w:themeColor="text1"/>
        </w:rPr>
        <w:t>REF Leads</w:t>
      </w:r>
    </w:p>
    <w:p w14:paraId="6EBCBDD3" w14:textId="78F5265F" w:rsidR="00840FBF" w:rsidRDefault="009071C6" w:rsidP="00B86602">
      <w:pPr>
        <w:spacing w:after="0"/>
        <w:rPr>
          <w:sz w:val="22"/>
        </w:rPr>
      </w:pPr>
      <w:proofErr w:type="spellStart"/>
      <w:r>
        <w:rPr>
          <w:sz w:val="22"/>
        </w:rPr>
        <w:t>UoA</w:t>
      </w:r>
      <w:proofErr w:type="spellEnd"/>
      <w:r>
        <w:rPr>
          <w:sz w:val="22"/>
        </w:rPr>
        <w:t xml:space="preserve"> 4</w:t>
      </w:r>
    </w:p>
    <w:p w14:paraId="59CB2C81" w14:textId="6FCE0FA8" w:rsidR="00840FBF" w:rsidRDefault="009071C6" w:rsidP="00B86602">
      <w:pPr>
        <w:spacing w:after="0"/>
        <w:rPr>
          <w:sz w:val="22"/>
        </w:rPr>
      </w:pPr>
      <w:proofErr w:type="spellStart"/>
      <w:r>
        <w:rPr>
          <w:sz w:val="22"/>
        </w:rPr>
        <w:t>UoA</w:t>
      </w:r>
      <w:proofErr w:type="spellEnd"/>
      <w:r>
        <w:rPr>
          <w:sz w:val="22"/>
        </w:rPr>
        <w:t xml:space="preserve"> 5</w:t>
      </w:r>
    </w:p>
    <w:p w14:paraId="62773D95" w14:textId="4F3B97B1" w:rsidR="00840FBF" w:rsidRDefault="009071C6" w:rsidP="00B86602">
      <w:pPr>
        <w:spacing w:after="0"/>
        <w:rPr>
          <w:sz w:val="22"/>
        </w:rPr>
      </w:pPr>
      <w:proofErr w:type="spellStart"/>
      <w:r>
        <w:rPr>
          <w:sz w:val="22"/>
        </w:rPr>
        <w:t>UoA</w:t>
      </w:r>
      <w:proofErr w:type="spellEnd"/>
      <w:r>
        <w:rPr>
          <w:sz w:val="22"/>
        </w:rPr>
        <w:t xml:space="preserve"> 7</w:t>
      </w:r>
    </w:p>
    <w:p w14:paraId="13826C7A" w14:textId="3C373E4A" w:rsidR="00840FBF" w:rsidRDefault="009071C6" w:rsidP="00B86602">
      <w:pPr>
        <w:spacing w:after="0"/>
        <w:rPr>
          <w:sz w:val="22"/>
        </w:rPr>
      </w:pPr>
      <w:proofErr w:type="spellStart"/>
      <w:r>
        <w:rPr>
          <w:sz w:val="22"/>
        </w:rPr>
        <w:t>UoA</w:t>
      </w:r>
      <w:proofErr w:type="spellEnd"/>
      <w:r>
        <w:rPr>
          <w:sz w:val="22"/>
        </w:rPr>
        <w:t xml:space="preserve"> 11</w:t>
      </w:r>
    </w:p>
    <w:p w14:paraId="0D8834A7" w14:textId="2E5D6052" w:rsidR="00840FBF" w:rsidRDefault="009071C6" w:rsidP="00B86602">
      <w:pPr>
        <w:spacing w:after="0"/>
        <w:rPr>
          <w:sz w:val="22"/>
        </w:rPr>
      </w:pPr>
      <w:proofErr w:type="spellStart"/>
      <w:r>
        <w:rPr>
          <w:sz w:val="22"/>
        </w:rPr>
        <w:t>UoA</w:t>
      </w:r>
      <w:proofErr w:type="spellEnd"/>
      <w:r>
        <w:rPr>
          <w:sz w:val="22"/>
        </w:rPr>
        <w:t xml:space="preserve"> 16</w:t>
      </w:r>
    </w:p>
    <w:p w14:paraId="3D58A437" w14:textId="4F44EF8C" w:rsidR="00840FBF" w:rsidRDefault="009071C6" w:rsidP="00B86602">
      <w:pPr>
        <w:spacing w:after="0"/>
        <w:rPr>
          <w:sz w:val="22"/>
        </w:rPr>
      </w:pPr>
      <w:proofErr w:type="spellStart"/>
      <w:r>
        <w:rPr>
          <w:sz w:val="22"/>
        </w:rPr>
        <w:t>UoA</w:t>
      </w:r>
      <w:proofErr w:type="spellEnd"/>
      <w:r>
        <w:rPr>
          <w:sz w:val="22"/>
        </w:rPr>
        <w:t xml:space="preserve"> 17</w:t>
      </w:r>
    </w:p>
    <w:p w14:paraId="0CA098A4" w14:textId="22A6ABD2" w:rsidR="00840FBF" w:rsidRDefault="009071C6" w:rsidP="00B86602">
      <w:pPr>
        <w:spacing w:after="0"/>
        <w:rPr>
          <w:sz w:val="22"/>
        </w:rPr>
      </w:pPr>
      <w:proofErr w:type="spellStart"/>
      <w:r>
        <w:rPr>
          <w:sz w:val="22"/>
        </w:rPr>
        <w:t>UoA</w:t>
      </w:r>
      <w:proofErr w:type="spellEnd"/>
      <w:r>
        <w:rPr>
          <w:sz w:val="22"/>
        </w:rPr>
        <w:t xml:space="preserve"> 18</w:t>
      </w:r>
    </w:p>
    <w:p w14:paraId="080C8A12" w14:textId="6F1A6895" w:rsidR="00840FBF" w:rsidRDefault="009071C6" w:rsidP="00B86602">
      <w:pPr>
        <w:spacing w:after="0"/>
        <w:rPr>
          <w:sz w:val="22"/>
        </w:rPr>
      </w:pPr>
      <w:proofErr w:type="spellStart"/>
      <w:r>
        <w:rPr>
          <w:sz w:val="22"/>
        </w:rPr>
        <w:t>UoA</w:t>
      </w:r>
      <w:proofErr w:type="spellEnd"/>
      <w:r>
        <w:rPr>
          <w:sz w:val="22"/>
        </w:rPr>
        <w:t xml:space="preserve"> 19</w:t>
      </w:r>
    </w:p>
    <w:p w14:paraId="64199ABF" w14:textId="632B1F67" w:rsidR="00840FBF" w:rsidRDefault="009071C6" w:rsidP="00B86602">
      <w:pPr>
        <w:spacing w:after="0"/>
        <w:rPr>
          <w:sz w:val="22"/>
        </w:rPr>
      </w:pPr>
      <w:proofErr w:type="spellStart"/>
      <w:r>
        <w:rPr>
          <w:sz w:val="22"/>
        </w:rPr>
        <w:t>UoA</w:t>
      </w:r>
      <w:proofErr w:type="spellEnd"/>
      <w:r>
        <w:rPr>
          <w:sz w:val="22"/>
        </w:rPr>
        <w:t xml:space="preserve"> 21 </w:t>
      </w:r>
    </w:p>
    <w:p w14:paraId="455272CB" w14:textId="08609541" w:rsidR="00840FBF" w:rsidRDefault="009071C6" w:rsidP="00B86602">
      <w:pPr>
        <w:spacing w:after="0"/>
        <w:rPr>
          <w:sz w:val="22"/>
        </w:rPr>
      </w:pPr>
      <w:proofErr w:type="spellStart"/>
      <w:r>
        <w:rPr>
          <w:sz w:val="22"/>
        </w:rPr>
        <w:t>UoA</w:t>
      </w:r>
      <w:proofErr w:type="spellEnd"/>
      <w:r>
        <w:rPr>
          <w:sz w:val="22"/>
        </w:rPr>
        <w:t xml:space="preserve"> 27</w:t>
      </w:r>
    </w:p>
    <w:p w14:paraId="070AB4AF" w14:textId="7C4A8220" w:rsidR="00840FBF" w:rsidRDefault="009071C6" w:rsidP="00B86602">
      <w:pPr>
        <w:spacing w:after="0"/>
        <w:rPr>
          <w:sz w:val="22"/>
        </w:rPr>
      </w:pPr>
      <w:proofErr w:type="spellStart"/>
      <w:r>
        <w:rPr>
          <w:sz w:val="22"/>
        </w:rPr>
        <w:t>UoA</w:t>
      </w:r>
      <w:proofErr w:type="spellEnd"/>
      <w:r>
        <w:rPr>
          <w:sz w:val="22"/>
        </w:rPr>
        <w:t xml:space="preserve"> 28 </w:t>
      </w:r>
    </w:p>
    <w:p w14:paraId="40C2565F" w14:textId="516F0993" w:rsidR="00840FBF" w:rsidRDefault="009071C6" w:rsidP="00B86602">
      <w:pPr>
        <w:spacing w:after="0"/>
        <w:rPr>
          <w:sz w:val="22"/>
        </w:rPr>
      </w:pPr>
      <w:proofErr w:type="spellStart"/>
      <w:r>
        <w:rPr>
          <w:sz w:val="22"/>
        </w:rPr>
        <w:t>UoA</w:t>
      </w:r>
      <w:proofErr w:type="spellEnd"/>
      <w:r>
        <w:rPr>
          <w:sz w:val="22"/>
        </w:rPr>
        <w:t xml:space="preserve"> 32</w:t>
      </w:r>
    </w:p>
    <w:p w14:paraId="73772751" w14:textId="77777777" w:rsidR="00840FBF" w:rsidRPr="00593CCD" w:rsidRDefault="009071C6" w:rsidP="00032C0D">
      <w:pPr>
        <w:pStyle w:val="Heading3"/>
        <w:spacing w:before="120"/>
        <w:ind w:left="0" w:firstLine="0"/>
        <w:rPr>
          <w:color w:val="000000" w:themeColor="text1"/>
        </w:rPr>
      </w:pPr>
      <w:r w:rsidRPr="00593CCD">
        <w:rPr>
          <w:color w:val="000000" w:themeColor="text1"/>
        </w:rPr>
        <w:t>Discipline Leads</w:t>
      </w:r>
    </w:p>
    <w:p w14:paraId="3D2C3740" w14:textId="4565D799" w:rsidR="00840FBF" w:rsidRDefault="009071C6" w:rsidP="00B86602">
      <w:pPr>
        <w:spacing w:after="0"/>
        <w:rPr>
          <w:sz w:val="22"/>
        </w:rPr>
      </w:pPr>
      <w:proofErr w:type="spellStart"/>
      <w:r>
        <w:rPr>
          <w:sz w:val="22"/>
        </w:rPr>
        <w:t>UoAs</w:t>
      </w:r>
      <w:proofErr w:type="spellEnd"/>
      <w:r>
        <w:rPr>
          <w:sz w:val="22"/>
        </w:rPr>
        <w:t xml:space="preserve"> 19 &amp; 21 </w:t>
      </w:r>
    </w:p>
    <w:p w14:paraId="7CFBF844" w14:textId="6F0CD994" w:rsidR="00840FBF" w:rsidRDefault="009071C6" w:rsidP="00B86602">
      <w:pPr>
        <w:spacing w:after="0"/>
        <w:ind w:left="3600" w:hanging="3600"/>
        <w:rPr>
          <w:sz w:val="22"/>
        </w:rPr>
      </w:pPr>
      <w:proofErr w:type="spellStart"/>
      <w:r>
        <w:rPr>
          <w:sz w:val="22"/>
        </w:rPr>
        <w:t>UoA</w:t>
      </w:r>
      <w:proofErr w:type="spellEnd"/>
      <w:r>
        <w:rPr>
          <w:sz w:val="22"/>
        </w:rPr>
        <w:t xml:space="preserve"> 27</w:t>
      </w:r>
    </w:p>
    <w:p w14:paraId="6970375F" w14:textId="5B03EA2A" w:rsidR="00840FBF" w:rsidRDefault="009071C6" w:rsidP="00B86602">
      <w:pPr>
        <w:spacing w:after="0"/>
      </w:pPr>
      <w:proofErr w:type="spellStart"/>
      <w:r>
        <w:rPr>
          <w:sz w:val="22"/>
        </w:rPr>
        <w:t>UoA</w:t>
      </w:r>
      <w:proofErr w:type="spellEnd"/>
      <w:r>
        <w:rPr>
          <w:sz w:val="22"/>
        </w:rPr>
        <w:t xml:space="preserve"> 28</w:t>
      </w:r>
    </w:p>
    <w:p w14:paraId="11091C4B" w14:textId="403B4093" w:rsidR="00840FBF" w:rsidRDefault="009071C6" w:rsidP="00B86602">
      <w:pPr>
        <w:spacing w:after="0"/>
        <w:rPr>
          <w:sz w:val="22"/>
        </w:rPr>
      </w:pPr>
      <w:proofErr w:type="spellStart"/>
      <w:r>
        <w:rPr>
          <w:sz w:val="22"/>
        </w:rPr>
        <w:t>UoA</w:t>
      </w:r>
      <w:proofErr w:type="spellEnd"/>
      <w:r>
        <w:rPr>
          <w:sz w:val="22"/>
        </w:rPr>
        <w:t xml:space="preserve"> 32</w:t>
      </w:r>
    </w:p>
    <w:p w14:paraId="279C9FF7" w14:textId="0A45B989" w:rsidR="00840FBF" w:rsidRDefault="009071C6" w:rsidP="00B86602">
      <w:pPr>
        <w:tabs>
          <w:tab w:val="left" w:pos="3544"/>
          <w:tab w:val="left" w:pos="5670"/>
        </w:tabs>
        <w:spacing w:before="240" w:after="0"/>
      </w:pPr>
      <w:r>
        <w:rPr>
          <w:b/>
          <w:sz w:val="22"/>
        </w:rPr>
        <w:t>Impact and knowledge Exchange Managers</w:t>
      </w:r>
      <w:r w:rsidR="00593CCD">
        <w:rPr>
          <w:b/>
          <w:sz w:val="22"/>
        </w:rPr>
        <w:tab/>
      </w:r>
      <w:r>
        <w:rPr>
          <w:bCs/>
          <w:sz w:val="22"/>
        </w:rPr>
        <w:t>(B&amp;L)</w:t>
      </w:r>
    </w:p>
    <w:p w14:paraId="3EB1830D" w14:textId="181C075A" w:rsidR="00840FBF" w:rsidRDefault="009071C6" w:rsidP="00B86602">
      <w:pPr>
        <w:spacing w:after="0"/>
        <w:ind w:firstLine="5670"/>
        <w:rPr>
          <w:bCs/>
          <w:sz w:val="22"/>
        </w:rPr>
      </w:pPr>
      <w:r>
        <w:rPr>
          <w:bCs/>
          <w:sz w:val="22"/>
        </w:rPr>
        <w:t>(HSS)</w:t>
      </w:r>
    </w:p>
    <w:p w14:paraId="3AFD534E" w14:textId="4958BAF3" w:rsidR="00840FBF" w:rsidRDefault="009071C6" w:rsidP="00B86602">
      <w:pPr>
        <w:spacing w:after="0"/>
        <w:ind w:firstLine="5670"/>
        <w:rPr>
          <w:bCs/>
          <w:sz w:val="22"/>
        </w:rPr>
      </w:pPr>
      <w:r>
        <w:rPr>
          <w:bCs/>
          <w:sz w:val="22"/>
        </w:rPr>
        <w:t>(Sci)</w:t>
      </w:r>
    </w:p>
    <w:p w14:paraId="580946A9" w14:textId="77777777" w:rsidR="00840FBF" w:rsidRDefault="009071C6" w:rsidP="00B86602">
      <w:pPr>
        <w:spacing w:before="120" w:after="240"/>
        <w:rPr>
          <w:b/>
          <w:sz w:val="22"/>
        </w:rPr>
      </w:pPr>
      <w:r>
        <w:rPr>
          <w:b/>
          <w:sz w:val="22"/>
        </w:rPr>
        <w:t>Co-opted Members (attend only when there are relevant matters to discuss)</w:t>
      </w:r>
    </w:p>
    <w:p w14:paraId="76E8B169" w14:textId="1BA74772" w:rsidR="00840FBF" w:rsidRDefault="009071C6" w:rsidP="00B86602">
      <w:pPr>
        <w:tabs>
          <w:tab w:val="left" w:pos="5670"/>
        </w:tabs>
        <w:spacing w:after="0"/>
        <w:rPr>
          <w:sz w:val="22"/>
        </w:rPr>
      </w:pPr>
      <w:r>
        <w:rPr>
          <w:sz w:val="22"/>
        </w:rPr>
        <w:t>Head of Research Finance</w:t>
      </w:r>
      <w:r w:rsidR="00B86602">
        <w:rPr>
          <w:sz w:val="22"/>
        </w:rPr>
        <w:tab/>
      </w:r>
      <w:r>
        <w:rPr>
          <w:sz w:val="22"/>
        </w:rPr>
        <w:t xml:space="preserve">Environment Data </w:t>
      </w:r>
    </w:p>
    <w:p w14:paraId="57EAF830" w14:textId="6C0C5349" w:rsidR="00840FBF" w:rsidRDefault="009071C6" w:rsidP="00B86602">
      <w:pPr>
        <w:tabs>
          <w:tab w:val="left" w:pos="5670"/>
        </w:tabs>
        <w:spacing w:after="0"/>
        <w:rPr>
          <w:sz w:val="22"/>
        </w:rPr>
      </w:pPr>
      <w:r>
        <w:rPr>
          <w:sz w:val="22"/>
        </w:rPr>
        <w:t>BGRS Manager</w:t>
      </w:r>
      <w:r w:rsidR="00B86602">
        <w:rPr>
          <w:sz w:val="22"/>
        </w:rPr>
        <w:tab/>
      </w:r>
      <w:r>
        <w:rPr>
          <w:sz w:val="22"/>
        </w:rPr>
        <w:t>Environment Data</w:t>
      </w:r>
    </w:p>
    <w:p w14:paraId="6C402AC4" w14:textId="5D6B939F" w:rsidR="00840FBF" w:rsidRDefault="009071C6" w:rsidP="00B86602">
      <w:pPr>
        <w:widowControl w:val="0"/>
        <w:tabs>
          <w:tab w:val="left" w:pos="5670"/>
        </w:tabs>
        <w:autoSpaceDE w:val="0"/>
        <w:spacing w:after="0"/>
        <w:rPr>
          <w:sz w:val="22"/>
        </w:rPr>
      </w:pPr>
      <w:r>
        <w:rPr>
          <w:sz w:val="22"/>
        </w:rPr>
        <w:t>Senior Assistant Librarian Repository</w:t>
      </w:r>
      <w:r w:rsidR="00B86602">
        <w:rPr>
          <w:sz w:val="22"/>
        </w:rPr>
        <w:tab/>
      </w:r>
      <w:r>
        <w:rPr>
          <w:sz w:val="22"/>
        </w:rPr>
        <w:t>OA questions</w:t>
      </w:r>
    </w:p>
    <w:p w14:paraId="74B59F88" w14:textId="77777777" w:rsidR="00840FBF" w:rsidRDefault="009071C6">
      <w:pPr>
        <w:widowControl w:val="0"/>
        <w:autoSpaceDE w:val="0"/>
        <w:spacing w:after="0"/>
        <w:rPr>
          <w:sz w:val="22"/>
        </w:rPr>
      </w:pPr>
      <w:r>
        <w:rPr>
          <w:sz w:val="22"/>
        </w:rPr>
        <w:t>and Digital Media Management</w:t>
      </w:r>
    </w:p>
    <w:p w14:paraId="76B607D5" w14:textId="6AC2CC7D" w:rsidR="00840FBF" w:rsidRDefault="009071C6" w:rsidP="00B86602">
      <w:pPr>
        <w:widowControl w:val="0"/>
        <w:tabs>
          <w:tab w:val="left" w:pos="5670"/>
        </w:tabs>
        <w:autoSpaceDE w:val="0"/>
        <w:spacing w:after="0"/>
        <w:rPr>
          <w:sz w:val="22"/>
        </w:rPr>
      </w:pPr>
      <w:r>
        <w:rPr>
          <w:sz w:val="22"/>
        </w:rPr>
        <w:t>HR</w:t>
      </w:r>
      <w:r w:rsidR="00B86602">
        <w:rPr>
          <w:sz w:val="22"/>
        </w:rPr>
        <w:tab/>
      </w:r>
      <w:r>
        <w:rPr>
          <w:sz w:val="22"/>
        </w:rPr>
        <w:t>EDI questions</w:t>
      </w:r>
    </w:p>
    <w:p w14:paraId="40577815" w14:textId="2A43DE5F" w:rsidR="00840FBF" w:rsidRDefault="009071C6">
      <w:pPr>
        <w:rPr>
          <w:sz w:val="22"/>
        </w:rPr>
      </w:pPr>
      <w:r>
        <w:rPr>
          <w:sz w:val="22"/>
        </w:rPr>
        <w:t xml:space="preserve">Academic members </w:t>
      </w:r>
    </w:p>
    <w:p w14:paraId="5592A29B" w14:textId="77777777" w:rsidR="00840FBF" w:rsidRPr="00B86602" w:rsidRDefault="009071C6" w:rsidP="00B86602">
      <w:pPr>
        <w:pStyle w:val="Heading3"/>
        <w:spacing w:before="120" w:after="120"/>
        <w:ind w:left="0" w:firstLine="0"/>
        <w:rPr>
          <w:color w:val="000000" w:themeColor="text1"/>
        </w:rPr>
      </w:pPr>
      <w:r w:rsidRPr="00B86602">
        <w:rPr>
          <w:color w:val="000000" w:themeColor="text1"/>
        </w:rPr>
        <w:t>Terms of Reference</w:t>
      </w:r>
    </w:p>
    <w:p w14:paraId="7574F4BD" w14:textId="77777777" w:rsidR="00840FBF" w:rsidRDefault="009071C6" w:rsidP="007F4DF7">
      <w:pPr>
        <w:rPr>
          <w:sz w:val="22"/>
        </w:rPr>
      </w:pPr>
      <w:r>
        <w:rPr>
          <w:sz w:val="22"/>
        </w:rPr>
        <w:t>The REF Working Party is a party of the Research Committee.</w:t>
      </w:r>
    </w:p>
    <w:p w14:paraId="3703FD3D" w14:textId="77777777" w:rsidR="00840FBF" w:rsidRDefault="009071C6" w:rsidP="007F4DF7">
      <w:r>
        <w:rPr>
          <w:sz w:val="22"/>
        </w:rPr>
        <w:t xml:space="preserve">The REF Working Party has been established to support the College in relation to its submissions to the REF2029. </w:t>
      </w:r>
      <w:proofErr w:type="gramStart"/>
      <w:r>
        <w:rPr>
          <w:sz w:val="22"/>
        </w:rPr>
        <w:t>Specifically</w:t>
      </w:r>
      <w:proofErr w:type="gramEnd"/>
      <w:r>
        <w:rPr>
          <w:sz w:val="22"/>
        </w:rPr>
        <w:t xml:space="preserve"> the Party aims to promote Birkbeck as a </w:t>
      </w:r>
      <w:proofErr w:type="gramStart"/>
      <w:r>
        <w:rPr>
          <w:sz w:val="22"/>
        </w:rPr>
        <w:t>research intensive</w:t>
      </w:r>
      <w:proofErr w:type="gramEnd"/>
      <w:r>
        <w:rPr>
          <w:sz w:val="22"/>
        </w:rPr>
        <w:t xml:space="preserve"> institution of high quality and to reflect this status through the return from the REF 2029 submission.</w:t>
      </w:r>
    </w:p>
    <w:p w14:paraId="1C32E1FA" w14:textId="77777777" w:rsidR="00840FBF" w:rsidRDefault="009071C6" w:rsidP="007F4DF7">
      <w:pPr>
        <w:rPr>
          <w:sz w:val="22"/>
        </w:rPr>
      </w:pPr>
      <w:r>
        <w:rPr>
          <w:sz w:val="22"/>
        </w:rPr>
        <w:t>In pursuit of its objectives the Working Party will:</w:t>
      </w:r>
    </w:p>
    <w:p w14:paraId="01C11DCD" w14:textId="77777777" w:rsidR="00E350E8" w:rsidRDefault="009071C6">
      <w:pPr>
        <w:pStyle w:val="ListParagraph"/>
        <w:numPr>
          <w:ilvl w:val="1"/>
          <w:numId w:val="134"/>
        </w:numPr>
        <w:spacing w:after="0"/>
        <w:ind w:left="709" w:hanging="709"/>
      </w:pPr>
      <w:r>
        <w:lastRenderedPageBreak/>
        <w:t xml:space="preserve">Advise the Research Committee, the Research Strategy Group and the VC on the adoption of </w:t>
      </w:r>
      <w:proofErr w:type="gramStart"/>
      <w:r>
        <w:t>College</w:t>
      </w:r>
      <w:proofErr w:type="gramEnd"/>
      <w:r>
        <w:t xml:space="preserve"> strategies to support the next REF submission.</w:t>
      </w:r>
    </w:p>
    <w:p w14:paraId="234FD76D" w14:textId="77777777" w:rsidR="00E350E8" w:rsidRDefault="009071C6">
      <w:pPr>
        <w:pStyle w:val="ListParagraph"/>
        <w:numPr>
          <w:ilvl w:val="0"/>
          <w:numId w:val="135"/>
        </w:numPr>
        <w:spacing w:after="0"/>
        <w:ind w:left="709" w:hanging="709"/>
      </w:pPr>
      <w:r>
        <w:t xml:space="preserve">Ensure up-to-date and accurate knowledge of any developments pertaining to the </w:t>
      </w:r>
      <w:proofErr w:type="gramStart"/>
      <w:r>
        <w:t>REF, and</w:t>
      </w:r>
      <w:proofErr w:type="gramEnd"/>
      <w:r>
        <w:t xml:space="preserve"> disseminate these throughout the College.</w:t>
      </w:r>
    </w:p>
    <w:p w14:paraId="63727D31" w14:textId="77777777" w:rsidR="00E350E8" w:rsidRDefault="009071C6">
      <w:pPr>
        <w:pStyle w:val="ListParagraph"/>
        <w:numPr>
          <w:ilvl w:val="0"/>
          <w:numId w:val="136"/>
        </w:numPr>
        <w:spacing w:after="0"/>
        <w:ind w:left="709" w:hanging="709"/>
      </w:pPr>
      <w:r>
        <w:t xml:space="preserve">Maintain oversight of preparations for the REF by all </w:t>
      </w:r>
      <w:proofErr w:type="spellStart"/>
      <w:r>
        <w:t>UoAs</w:t>
      </w:r>
      <w:proofErr w:type="spellEnd"/>
      <w:r>
        <w:t>.</w:t>
      </w:r>
    </w:p>
    <w:p w14:paraId="4BB29D0D" w14:textId="77777777" w:rsidR="00E350E8" w:rsidRDefault="00E350E8">
      <w:pPr>
        <w:pStyle w:val="ListParagraph"/>
        <w:numPr>
          <w:ilvl w:val="0"/>
          <w:numId w:val="137"/>
        </w:numPr>
        <w:spacing w:after="0"/>
        <w:ind w:left="709" w:hanging="709"/>
      </w:pPr>
      <w:r>
        <w:t xml:space="preserve"> </w:t>
      </w:r>
      <w:r w:rsidR="009071C6">
        <w:t xml:space="preserve">Manage and guide </w:t>
      </w:r>
      <w:proofErr w:type="spellStart"/>
      <w:r w:rsidR="009071C6">
        <w:t>UoA</w:t>
      </w:r>
      <w:proofErr w:type="spellEnd"/>
      <w:r w:rsidR="009071C6">
        <w:t xml:space="preserve"> Leads throughout the course of their appointment, ensuring that the full resources of the College are known and made available to them. </w:t>
      </w:r>
    </w:p>
    <w:p w14:paraId="42976E8F" w14:textId="1EF8D93C" w:rsidR="00840FBF" w:rsidRDefault="009071C6">
      <w:pPr>
        <w:pStyle w:val="ListParagraph"/>
        <w:numPr>
          <w:ilvl w:val="0"/>
          <w:numId w:val="137"/>
        </w:numPr>
        <w:spacing w:after="0"/>
        <w:ind w:left="709" w:hanging="709"/>
      </w:pPr>
      <w:r>
        <w:t xml:space="preserve">Facilitate continuity of oversight for each </w:t>
      </w:r>
      <w:proofErr w:type="spellStart"/>
      <w:r>
        <w:t>UoA</w:t>
      </w:r>
      <w:proofErr w:type="spellEnd"/>
      <w:r>
        <w:t xml:space="preserve"> in the event of a Lead transition.</w:t>
      </w:r>
    </w:p>
    <w:p w14:paraId="46793DB7" w14:textId="0334F15F" w:rsidR="00840FBF" w:rsidRDefault="009071C6">
      <w:pPr>
        <w:pStyle w:val="ListParagraph"/>
        <w:numPr>
          <w:ilvl w:val="0"/>
          <w:numId w:val="137"/>
        </w:numPr>
        <w:spacing w:after="0"/>
        <w:ind w:left="709" w:hanging="709"/>
      </w:pPr>
      <w:r>
        <w:t>Manage College-wide preparations for the REF.</w:t>
      </w:r>
    </w:p>
    <w:p w14:paraId="7A5CFB60" w14:textId="77777777" w:rsidR="00513DE2" w:rsidRDefault="00513DE2">
      <w:pPr>
        <w:pStyle w:val="ListParagraph"/>
        <w:numPr>
          <w:ilvl w:val="0"/>
          <w:numId w:val="137"/>
        </w:numPr>
        <w:spacing w:after="0"/>
        <w:ind w:left="709" w:hanging="709"/>
      </w:pPr>
      <w:r>
        <w:t xml:space="preserve"> </w:t>
      </w:r>
      <w:r w:rsidR="009071C6">
        <w:t>Support decision-making concerning inclusion of Impact cases;</w:t>
      </w:r>
    </w:p>
    <w:p w14:paraId="4B13C896" w14:textId="307457E7" w:rsidR="00840FBF" w:rsidRDefault="009071C6">
      <w:pPr>
        <w:pStyle w:val="ListParagraph"/>
        <w:numPr>
          <w:ilvl w:val="0"/>
          <w:numId w:val="137"/>
        </w:numPr>
        <w:spacing w:after="0"/>
        <w:ind w:left="709" w:hanging="709"/>
      </w:pPr>
      <w:r>
        <w:t xml:space="preserve">Actively support the writing of all aspects of the final REF submission for every </w:t>
      </w:r>
      <w:proofErr w:type="spellStart"/>
      <w:r>
        <w:t>UoA</w:t>
      </w:r>
      <w:proofErr w:type="spellEnd"/>
      <w:r>
        <w:t>.</w:t>
      </w:r>
    </w:p>
    <w:p w14:paraId="5102F058" w14:textId="5A4E0768" w:rsidR="00840FBF" w:rsidRDefault="009071C6">
      <w:pPr>
        <w:pStyle w:val="ListParagraph"/>
        <w:numPr>
          <w:ilvl w:val="0"/>
          <w:numId w:val="137"/>
        </w:numPr>
        <w:spacing w:after="0"/>
        <w:ind w:left="709" w:hanging="709"/>
      </w:pPr>
      <w:r>
        <w:t>Work with members of the REF Support Group or equivalent around the administrative requirements for the REF.</w:t>
      </w:r>
    </w:p>
    <w:p w14:paraId="78CB2F3D" w14:textId="7E7F0315" w:rsidR="00840FBF" w:rsidRDefault="009071C6">
      <w:pPr>
        <w:pStyle w:val="ListParagraph"/>
        <w:numPr>
          <w:ilvl w:val="0"/>
          <w:numId w:val="137"/>
        </w:numPr>
        <w:spacing w:after="0"/>
        <w:ind w:left="709" w:hanging="709"/>
      </w:pPr>
      <w:r>
        <w:t xml:space="preserve">Work with </w:t>
      </w:r>
      <w:proofErr w:type="gramStart"/>
      <w:r>
        <w:t>the HR</w:t>
      </w:r>
      <w:proofErr w:type="gramEnd"/>
      <w:r>
        <w:t xml:space="preserve"> to ensure that equality and diversity requirements are fully complied with.</w:t>
      </w:r>
    </w:p>
    <w:p w14:paraId="25E03E1C" w14:textId="69A648D1" w:rsidR="00840FBF" w:rsidRDefault="009071C6">
      <w:pPr>
        <w:pStyle w:val="ListParagraph"/>
        <w:numPr>
          <w:ilvl w:val="0"/>
          <w:numId w:val="137"/>
        </w:numPr>
        <w:spacing w:after="0"/>
        <w:ind w:left="709" w:hanging="709"/>
      </w:pPr>
      <w:r>
        <w:t>Report to the Research strategy Group and Research Committee on pertinent aspects and/or developments on any of the above.</w:t>
      </w:r>
    </w:p>
    <w:p w14:paraId="26BB70E5" w14:textId="4F697F00" w:rsidR="00840FBF" w:rsidRDefault="00513DE2">
      <w:pPr>
        <w:pStyle w:val="ListParagraph"/>
        <w:numPr>
          <w:ilvl w:val="0"/>
          <w:numId w:val="137"/>
        </w:numPr>
        <w:spacing w:after="0"/>
        <w:ind w:left="709" w:hanging="709"/>
      </w:pPr>
      <w:r>
        <w:t xml:space="preserve"> </w:t>
      </w:r>
      <w:r w:rsidR="009071C6">
        <w:t>Advise the Strategic Policy Committee and Governors of developments in relation to the REF.</w:t>
      </w:r>
    </w:p>
    <w:p w14:paraId="6C9FF41C" w14:textId="77777777" w:rsidR="00840FBF" w:rsidRDefault="00840FBF">
      <w:pPr>
        <w:pageBreakBefore/>
        <w:suppressAutoHyphens w:val="0"/>
        <w:rPr>
          <w:b/>
          <w:bCs/>
          <w:sz w:val="22"/>
        </w:rPr>
      </w:pPr>
    </w:p>
    <w:p w14:paraId="66FD3B2C" w14:textId="253ED9B1" w:rsidR="00840FBF" w:rsidRDefault="009071C6" w:rsidP="00AB75B9">
      <w:pPr>
        <w:pStyle w:val="Heading2"/>
        <w:spacing w:after="120"/>
        <w:jc w:val="center"/>
      </w:pPr>
      <w:r>
        <w:t xml:space="preserve">Appendix </w:t>
      </w:r>
      <w:r w:rsidR="00EE0545">
        <w:t>2.</w:t>
      </w:r>
      <w:r>
        <w:t>2: Research Strategy Group Membership and Terms of Reference</w:t>
      </w:r>
    </w:p>
    <w:p w14:paraId="2FFF2FCB" w14:textId="64C5681C" w:rsidR="00840FBF" w:rsidRDefault="009071C6" w:rsidP="00AB75B9">
      <w:pPr>
        <w:spacing w:after="0"/>
        <w:ind w:left="5040" w:hanging="5040"/>
        <w:rPr>
          <w:sz w:val="22"/>
        </w:rPr>
      </w:pPr>
      <w:r>
        <w:rPr>
          <w:sz w:val="22"/>
        </w:rPr>
        <w:t>Deputy Vice Chancellor for Research &amp; Innovation</w:t>
      </w:r>
    </w:p>
    <w:p w14:paraId="6BD940FB" w14:textId="77777777" w:rsidR="00840FBF" w:rsidRDefault="009071C6" w:rsidP="00AB75B9">
      <w:pPr>
        <w:spacing w:after="0"/>
        <w:rPr>
          <w:sz w:val="22"/>
        </w:rPr>
      </w:pPr>
      <w:r>
        <w:rPr>
          <w:sz w:val="22"/>
        </w:rPr>
        <w:t>(Chair)</w:t>
      </w:r>
    </w:p>
    <w:p w14:paraId="4F278D2A" w14:textId="3C6BCFF7" w:rsidR="00840FBF" w:rsidRDefault="009071C6" w:rsidP="00AB75B9">
      <w:pPr>
        <w:widowControl w:val="0"/>
        <w:tabs>
          <w:tab w:val="left" w:pos="3380"/>
        </w:tabs>
        <w:autoSpaceDE w:val="0"/>
        <w:spacing w:after="0"/>
        <w:rPr>
          <w:sz w:val="22"/>
        </w:rPr>
      </w:pPr>
      <w:r>
        <w:rPr>
          <w:sz w:val="22"/>
        </w:rPr>
        <w:t>Faculty Heads of Research KE and Innovation:</w:t>
      </w:r>
      <w:r>
        <w:rPr>
          <w:sz w:val="22"/>
        </w:rPr>
        <w:tab/>
        <w:t>(B&amp;L)</w:t>
      </w:r>
    </w:p>
    <w:p w14:paraId="3B5F5688" w14:textId="57D5FECD" w:rsidR="00840FBF" w:rsidRDefault="009071C6" w:rsidP="00AB75B9">
      <w:pPr>
        <w:widowControl w:val="0"/>
        <w:tabs>
          <w:tab w:val="left" w:pos="3380"/>
        </w:tabs>
        <w:autoSpaceDE w:val="0"/>
        <w:spacing w:after="0"/>
        <w:ind w:firstLine="4962"/>
      </w:pPr>
      <w:r>
        <w:rPr>
          <w:sz w:val="22"/>
        </w:rPr>
        <w:t>(H&amp;SS)</w:t>
      </w:r>
    </w:p>
    <w:p w14:paraId="538763D1" w14:textId="78854C18" w:rsidR="00840FBF" w:rsidRDefault="009071C6" w:rsidP="00AB75B9">
      <w:pPr>
        <w:spacing w:after="0"/>
        <w:ind w:firstLine="4962"/>
        <w:rPr>
          <w:sz w:val="22"/>
        </w:rPr>
      </w:pPr>
      <w:r>
        <w:rPr>
          <w:sz w:val="22"/>
        </w:rPr>
        <w:t xml:space="preserve">(Science) </w:t>
      </w:r>
    </w:p>
    <w:p w14:paraId="6E0CF59B" w14:textId="256526F7" w:rsidR="00840FBF" w:rsidRDefault="009071C6" w:rsidP="00AB75B9">
      <w:pPr>
        <w:spacing w:before="160" w:after="40"/>
        <w:rPr>
          <w:sz w:val="22"/>
        </w:rPr>
      </w:pPr>
      <w:r>
        <w:rPr>
          <w:sz w:val="22"/>
        </w:rPr>
        <w:t>Director of Research</w:t>
      </w:r>
    </w:p>
    <w:p w14:paraId="023737D8" w14:textId="3494A880" w:rsidR="00840FBF" w:rsidRDefault="009071C6" w:rsidP="00AB75B9">
      <w:pPr>
        <w:spacing w:after="40"/>
        <w:rPr>
          <w:sz w:val="22"/>
        </w:rPr>
      </w:pPr>
      <w:r>
        <w:rPr>
          <w:sz w:val="22"/>
        </w:rPr>
        <w:t>Head of Research Finance</w:t>
      </w:r>
    </w:p>
    <w:p w14:paraId="1B6608C0" w14:textId="4610F703" w:rsidR="00840FBF" w:rsidRDefault="009071C6" w:rsidP="00AB75B9">
      <w:pPr>
        <w:spacing w:after="40"/>
        <w:rPr>
          <w:sz w:val="22"/>
        </w:rPr>
      </w:pPr>
      <w:r>
        <w:rPr>
          <w:sz w:val="22"/>
        </w:rPr>
        <w:t>Graduate Research School Manager</w:t>
      </w:r>
    </w:p>
    <w:p w14:paraId="73AA4E01" w14:textId="77777777" w:rsidR="00840FBF" w:rsidRPr="00AB75B9" w:rsidRDefault="009071C6" w:rsidP="00AB75B9">
      <w:pPr>
        <w:pStyle w:val="Heading3"/>
        <w:ind w:left="720"/>
        <w:rPr>
          <w:color w:val="000000" w:themeColor="text1"/>
        </w:rPr>
      </w:pPr>
      <w:r w:rsidRPr="00AB75B9">
        <w:rPr>
          <w:color w:val="000000" w:themeColor="text1"/>
        </w:rPr>
        <w:t>In Attendance</w:t>
      </w:r>
    </w:p>
    <w:p w14:paraId="205C1E1D" w14:textId="22ABDCAB" w:rsidR="00840FBF" w:rsidRDefault="009071C6" w:rsidP="00AB75B9">
      <w:pPr>
        <w:spacing w:after="0"/>
        <w:rPr>
          <w:sz w:val="22"/>
        </w:rPr>
      </w:pPr>
      <w:r>
        <w:rPr>
          <w:sz w:val="22"/>
        </w:rPr>
        <w:t>College Secretary</w:t>
      </w:r>
    </w:p>
    <w:p w14:paraId="08FC1468" w14:textId="363D5AA6" w:rsidR="00840FBF" w:rsidRDefault="009071C6">
      <w:pPr>
        <w:rPr>
          <w:sz w:val="22"/>
        </w:rPr>
      </w:pPr>
      <w:r>
        <w:rPr>
          <w:sz w:val="22"/>
        </w:rPr>
        <w:t>Committee Secretary</w:t>
      </w:r>
    </w:p>
    <w:p w14:paraId="3CCEA40B" w14:textId="51ACCCAE" w:rsidR="00840FBF" w:rsidRPr="00AB75B9" w:rsidRDefault="009071C6" w:rsidP="00AB75B9">
      <w:pPr>
        <w:pStyle w:val="Heading3"/>
        <w:ind w:left="720"/>
        <w:rPr>
          <w:color w:val="000000" w:themeColor="text1"/>
        </w:rPr>
      </w:pPr>
      <w:r w:rsidRPr="00AB75B9">
        <w:rPr>
          <w:color w:val="000000" w:themeColor="text1"/>
        </w:rPr>
        <w:t>In Attendance for the PGR meeting</w:t>
      </w:r>
    </w:p>
    <w:p w14:paraId="40A63E84" w14:textId="554B377B" w:rsidR="00840FBF" w:rsidRPr="00AB75B9" w:rsidRDefault="009071C6" w:rsidP="00AB75B9">
      <w:pPr>
        <w:spacing w:after="0"/>
        <w:rPr>
          <w:sz w:val="22"/>
          <w:szCs w:val="22"/>
        </w:rPr>
      </w:pPr>
      <w:r w:rsidRPr="00AB75B9">
        <w:rPr>
          <w:sz w:val="22"/>
          <w:szCs w:val="22"/>
        </w:rPr>
        <w:t>BGRS Officer</w:t>
      </w:r>
    </w:p>
    <w:p w14:paraId="44B92BD7" w14:textId="419C4300" w:rsidR="00840FBF" w:rsidRPr="00AB75B9" w:rsidRDefault="009071C6" w:rsidP="00AB75B9">
      <w:pPr>
        <w:spacing w:after="0"/>
        <w:rPr>
          <w:sz w:val="22"/>
          <w:szCs w:val="22"/>
        </w:rPr>
      </w:pPr>
      <w:r w:rsidRPr="00AB75B9">
        <w:rPr>
          <w:sz w:val="22"/>
          <w:szCs w:val="22"/>
        </w:rPr>
        <w:t>BGRS Administrator</w:t>
      </w:r>
    </w:p>
    <w:p w14:paraId="0ED3A170" w14:textId="63D89ECD" w:rsidR="00840FBF" w:rsidRPr="00AB75B9" w:rsidRDefault="009071C6" w:rsidP="00AB75B9">
      <w:pPr>
        <w:spacing w:after="0"/>
        <w:rPr>
          <w:sz w:val="22"/>
          <w:szCs w:val="22"/>
        </w:rPr>
      </w:pPr>
      <w:r w:rsidRPr="00AB75B9">
        <w:rPr>
          <w:w w:val="95"/>
          <w:sz w:val="22"/>
          <w:szCs w:val="22"/>
        </w:rPr>
        <w:t xml:space="preserve">Quality and Regulation Manager </w:t>
      </w:r>
    </w:p>
    <w:p w14:paraId="67E5005B" w14:textId="08511CCE" w:rsidR="00840FBF" w:rsidRPr="00AB75B9" w:rsidRDefault="009071C6" w:rsidP="00AB75B9">
      <w:pPr>
        <w:spacing w:before="1" w:after="0"/>
        <w:rPr>
          <w:sz w:val="22"/>
          <w:szCs w:val="22"/>
        </w:rPr>
      </w:pPr>
      <w:r w:rsidRPr="00AB75B9">
        <w:rPr>
          <w:sz w:val="22"/>
          <w:szCs w:val="22"/>
        </w:rPr>
        <w:t>Director of Registry, Registry Services</w:t>
      </w:r>
    </w:p>
    <w:p w14:paraId="574B8583" w14:textId="2ACAC7C1" w:rsidR="00840FBF" w:rsidRDefault="009071C6" w:rsidP="00AB75B9">
      <w:pPr>
        <w:spacing w:after="0"/>
      </w:pPr>
      <w:r w:rsidRPr="00AB75B9">
        <w:rPr>
          <w:sz w:val="22"/>
          <w:szCs w:val="22"/>
        </w:rPr>
        <w:t>Library Representative</w:t>
      </w:r>
    </w:p>
    <w:p w14:paraId="528AFCE3" w14:textId="77777777" w:rsidR="00840FBF" w:rsidRPr="00AB75B9" w:rsidRDefault="009071C6" w:rsidP="00AB75B9">
      <w:pPr>
        <w:pStyle w:val="Heading3"/>
        <w:ind w:left="720"/>
        <w:rPr>
          <w:color w:val="000000" w:themeColor="text1"/>
        </w:rPr>
      </w:pPr>
      <w:r w:rsidRPr="00AB75B9">
        <w:rPr>
          <w:color w:val="000000" w:themeColor="text1"/>
        </w:rPr>
        <w:t>Terms of Reference</w:t>
      </w:r>
    </w:p>
    <w:p w14:paraId="5E368FE7" w14:textId="77777777" w:rsidR="00840FBF" w:rsidRDefault="009071C6" w:rsidP="00610742">
      <w:pPr>
        <w:rPr>
          <w:sz w:val="22"/>
        </w:rPr>
      </w:pPr>
      <w:r>
        <w:rPr>
          <w:sz w:val="22"/>
        </w:rPr>
        <w:t xml:space="preserve">The Research Strategy Group is a working group of the Research Committee and acts as its executive body. </w:t>
      </w:r>
    </w:p>
    <w:p w14:paraId="7D7D6C77" w14:textId="77777777" w:rsidR="00840FBF" w:rsidRDefault="009071C6" w:rsidP="00610742">
      <w:pPr>
        <w:rPr>
          <w:sz w:val="22"/>
        </w:rPr>
      </w:pPr>
      <w:r>
        <w:rPr>
          <w:sz w:val="22"/>
        </w:rPr>
        <w:t xml:space="preserve">The group will meet on at least a monthly basis in term time, with at least two meetings per term being dedicated to the consideration of matters relating to PGR students to incorporate the work formerly undertaken by RSSC. </w:t>
      </w:r>
    </w:p>
    <w:p w14:paraId="3D979BE6" w14:textId="77777777" w:rsidR="00840FBF" w:rsidRDefault="009071C6" w:rsidP="00610742">
      <w:pPr>
        <w:rPr>
          <w:sz w:val="22"/>
        </w:rPr>
      </w:pPr>
      <w:r>
        <w:rPr>
          <w:sz w:val="22"/>
        </w:rPr>
        <w:t xml:space="preserve">Drawing on expertise from all three Faculties, the Research Strategy Group supports the academic aspects of the implementation of the Research Strategy and advises the PVC (Research) on questions relating to research governance and research performance. </w:t>
      </w:r>
    </w:p>
    <w:p w14:paraId="6F0F3CC4" w14:textId="77777777" w:rsidR="00840FBF" w:rsidRDefault="009071C6" w:rsidP="00610742">
      <w:pPr>
        <w:rPr>
          <w:sz w:val="22"/>
        </w:rPr>
      </w:pPr>
      <w:r>
        <w:rPr>
          <w:sz w:val="22"/>
        </w:rPr>
        <w:t>In pursuit of its objectives the Research Strategy Group Will:</w:t>
      </w:r>
    </w:p>
    <w:p w14:paraId="79B4C856" w14:textId="77777777" w:rsidR="00840FBF" w:rsidRDefault="009071C6">
      <w:pPr>
        <w:pStyle w:val="ListParagraph"/>
        <w:numPr>
          <w:ilvl w:val="0"/>
          <w:numId w:val="138"/>
        </w:numPr>
        <w:ind w:left="1077" w:hanging="720"/>
      </w:pPr>
      <w:r>
        <w:t xml:space="preserve">Ensure two-way communication between the central College, Faculties and Schools on all research related matters. </w:t>
      </w:r>
    </w:p>
    <w:p w14:paraId="27767EEF" w14:textId="77777777" w:rsidR="00840FBF" w:rsidRDefault="009071C6">
      <w:pPr>
        <w:pStyle w:val="ListParagraph"/>
        <w:numPr>
          <w:ilvl w:val="0"/>
          <w:numId w:val="138"/>
        </w:numPr>
        <w:ind w:left="1077" w:hanging="720"/>
      </w:pPr>
      <w:r>
        <w:t>Advise the Research Committee on the adoption of strategies or policies to support the research work across the College, and/or advise individual Faculties about the need to adopt or amend specific strategies and policies locally.</w:t>
      </w:r>
    </w:p>
    <w:p w14:paraId="07F05BB0" w14:textId="77777777" w:rsidR="00840FBF" w:rsidRDefault="009071C6">
      <w:pPr>
        <w:pStyle w:val="ListParagraph"/>
        <w:numPr>
          <w:ilvl w:val="0"/>
          <w:numId w:val="138"/>
        </w:numPr>
        <w:ind w:left="1077" w:hanging="720"/>
      </w:pPr>
      <w:r>
        <w:t xml:space="preserve">Ensure an </w:t>
      </w:r>
      <w:proofErr w:type="gramStart"/>
      <w:r>
        <w:t>up to date</w:t>
      </w:r>
      <w:proofErr w:type="gramEnd"/>
      <w:r>
        <w:t xml:space="preserve"> knowledge of </w:t>
      </w:r>
      <w:proofErr w:type="gramStart"/>
      <w:r>
        <w:t>College</w:t>
      </w:r>
      <w:proofErr w:type="gramEnd"/>
      <w:r>
        <w:t>-wide processes and procedures in relation to research, and how these are implemented at the Faculty and School level.</w:t>
      </w:r>
    </w:p>
    <w:p w14:paraId="2AFA1FA4" w14:textId="77777777" w:rsidR="00840FBF" w:rsidRDefault="009071C6">
      <w:pPr>
        <w:pStyle w:val="ListParagraph"/>
        <w:numPr>
          <w:ilvl w:val="0"/>
          <w:numId w:val="138"/>
        </w:numPr>
        <w:ind w:left="1077" w:hanging="720"/>
      </w:pPr>
      <w:r>
        <w:t xml:space="preserve">Maintain an awareness of the REF cycle and the College’s response to the result, and preparedness for the next cycle, acting as the executive group for the REF Working Party where necessary. </w:t>
      </w:r>
    </w:p>
    <w:p w14:paraId="589CB2F7" w14:textId="77777777" w:rsidR="00840FBF" w:rsidRDefault="009071C6">
      <w:pPr>
        <w:pStyle w:val="ListParagraph"/>
        <w:numPr>
          <w:ilvl w:val="0"/>
          <w:numId w:val="138"/>
        </w:numPr>
        <w:ind w:left="1077" w:hanging="720"/>
      </w:pPr>
      <w:r>
        <w:lastRenderedPageBreak/>
        <w:t>support and monitor the implementation of the College's Equality &amp; Diversity Strategy in all relevant areas of the committee's business, ensuring Equality and Diversity in research (at all levels) is promoted through a strategy of inclusive design to ensure that our research environment is accessible to all groups of researchers and is proactive about losses of diversity in the talent pipeline. </w:t>
      </w:r>
    </w:p>
    <w:p w14:paraId="0E8A8626" w14:textId="77777777" w:rsidR="00840FBF" w:rsidRDefault="009071C6">
      <w:pPr>
        <w:pStyle w:val="ListParagraph"/>
        <w:numPr>
          <w:ilvl w:val="0"/>
          <w:numId w:val="138"/>
        </w:numPr>
        <w:ind w:left="1077" w:hanging="720"/>
      </w:pPr>
      <w:r>
        <w:t xml:space="preserve">Make recommendations on the structure of the College’s REF submission, especially in relation to decisions about selection of </w:t>
      </w:r>
      <w:proofErr w:type="spellStart"/>
      <w:r>
        <w:t>UoAs</w:t>
      </w:r>
      <w:proofErr w:type="spellEnd"/>
      <w:r>
        <w:t xml:space="preserve">. </w:t>
      </w:r>
    </w:p>
    <w:p w14:paraId="7349202A" w14:textId="77777777" w:rsidR="00840FBF" w:rsidRDefault="009071C6">
      <w:pPr>
        <w:pStyle w:val="ListParagraph"/>
        <w:numPr>
          <w:ilvl w:val="0"/>
          <w:numId w:val="138"/>
        </w:numPr>
        <w:ind w:left="1077" w:hanging="720"/>
      </w:pPr>
      <w:r>
        <w:t xml:space="preserve">Support the implementation of the Research Strategy, working with professional services colleagues as appropriate. </w:t>
      </w:r>
    </w:p>
    <w:p w14:paraId="5763EC95" w14:textId="77777777" w:rsidR="00840FBF" w:rsidRDefault="009071C6">
      <w:pPr>
        <w:pStyle w:val="ListParagraph"/>
        <w:numPr>
          <w:ilvl w:val="0"/>
          <w:numId w:val="138"/>
        </w:numPr>
        <w:ind w:left="1077" w:hanging="720"/>
      </w:pPr>
      <w:r>
        <w:t xml:space="preserve">Act as a resource to the Research Committee by carrying out the operational work of the committee as necessary. </w:t>
      </w:r>
    </w:p>
    <w:p w14:paraId="2F77FDC0" w14:textId="63C8219D" w:rsidR="00840FBF" w:rsidRDefault="009071C6">
      <w:pPr>
        <w:pStyle w:val="ListParagraph"/>
        <w:numPr>
          <w:ilvl w:val="0"/>
          <w:numId w:val="138"/>
        </w:numPr>
        <w:ind w:left="1077" w:hanging="720"/>
      </w:pPr>
      <w:r>
        <w:t xml:space="preserve">Convene at the request of the Chair on an ad hoc basis </w:t>
      </w:r>
      <w:proofErr w:type="gramStart"/>
      <w:r>
        <w:t>to</w:t>
      </w:r>
      <w:proofErr w:type="gramEnd"/>
      <w:r>
        <w:t xml:space="preserve"> </w:t>
      </w:r>
      <w:proofErr w:type="gramStart"/>
      <w:r>
        <w:t>quality assure</w:t>
      </w:r>
      <w:proofErr w:type="gramEnd"/>
      <w:r>
        <w:t xml:space="preserve"> and select applications for strategically identified funding opportunities.</w:t>
      </w:r>
      <w:r w:rsidR="00267A4E">
        <w:t xml:space="preserve"> </w:t>
      </w:r>
    </w:p>
    <w:p w14:paraId="294E7EA0" w14:textId="155AC998" w:rsidR="00840FBF" w:rsidRDefault="009071C6">
      <w:pPr>
        <w:pStyle w:val="ListParagraph"/>
        <w:numPr>
          <w:ilvl w:val="0"/>
          <w:numId w:val="138"/>
        </w:numPr>
        <w:ind w:left="1077" w:hanging="720"/>
      </w:pPr>
      <w:r>
        <w:t>Maintain annual oversight of the Birkbeck Institutes.</w:t>
      </w:r>
      <w:r w:rsidR="00267A4E">
        <w:t xml:space="preserve"> </w:t>
      </w:r>
    </w:p>
    <w:p w14:paraId="435C8BBA" w14:textId="77777777" w:rsidR="00840FBF" w:rsidRDefault="009071C6">
      <w:pPr>
        <w:pStyle w:val="ListParagraph"/>
        <w:numPr>
          <w:ilvl w:val="0"/>
          <w:numId w:val="138"/>
        </w:numPr>
        <w:ind w:left="1077" w:hanging="720"/>
      </w:pPr>
      <w:r>
        <w:rPr>
          <w:w w:val="95"/>
        </w:rPr>
        <w:t>Advise</w:t>
      </w:r>
      <w:r>
        <w:rPr>
          <w:spacing w:val="-38"/>
          <w:w w:val="95"/>
        </w:rPr>
        <w:t xml:space="preserve"> </w:t>
      </w:r>
      <w:r>
        <w:rPr>
          <w:w w:val="95"/>
        </w:rPr>
        <w:t>Research</w:t>
      </w:r>
      <w:r>
        <w:rPr>
          <w:spacing w:val="-37"/>
          <w:w w:val="95"/>
        </w:rPr>
        <w:t xml:space="preserve"> </w:t>
      </w:r>
      <w:r>
        <w:rPr>
          <w:w w:val="95"/>
        </w:rPr>
        <w:t>Committee</w:t>
      </w:r>
      <w:r>
        <w:rPr>
          <w:spacing w:val="-37"/>
          <w:w w:val="95"/>
        </w:rPr>
        <w:t xml:space="preserve"> </w:t>
      </w:r>
      <w:r>
        <w:rPr>
          <w:w w:val="95"/>
        </w:rPr>
        <w:t>on</w:t>
      </w:r>
      <w:r>
        <w:rPr>
          <w:spacing w:val="-37"/>
          <w:w w:val="95"/>
        </w:rPr>
        <w:t xml:space="preserve"> </w:t>
      </w:r>
      <w:r>
        <w:rPr>
          <w:w w:val="95"/>
        </w:rPr>
        <w:t xml:space="preserve">the development of </w:t>
      </w:r>
      <w:proofErr w:type="gramStart"/>
      <w:r>
        <w:rPr>
          <w:w w:val="95"/>
        </w:rPr>
        <w:t>College</w:t>
      </w:r>
      <w:proofErr w:type="gramEnd"/>
      <w:r>
        <w:rPr>
          <w:spacing w:val="-36"/>
          <w:w w:val="95"/>
        </w:rPr>
        <w:t xml:space="preserve"> </w:t>
      </w:r>
      <w:r>
        <w:rPr>
          <w:w w:val="95"/>
        </w:rPr>
        <w:t>regulation,</w:t>
      </w:r>
      <w:r>
        <w:rPr>
          <w:spacing w:val="-38"/>
          <w:w w:val="95"/>
        </w:rPr>
        <w:t xml:space="preserve"> </w:t>
      </w:r>
      <w:r>
        <w:rPr>
          <w:w w:val="95"/>
        </w:rPr>
        <w:t>policy</w:t>
      </w:r>
      <w:r>
        <w:rPr>
          <w:spacing w:val="-37"/>
          <w:w w:val="95"/>
        </w:rPr>
        <w:t xml:space="preserve"> </w:t>
      </w:r>
      <w:r>
        <w:rPr>
          <w:w w:val="95"/>
        </w:rPr>
        <w:t xml:space="preserve">and </w:t>
      </w:r>
      <w:r>
        <w:t>support</w:t>
      </w:r>
      <w:r>
        <w:rPr>
          <w:spacing w:val="-10"/>
        </w:rPr>
        <w:t xml:space="preserve"> </w:t>
      </w:r>
      <w:r>
        <w:t>for</w:t>
      </w:r>
      <w:r>
        <w:rPr>
          <w:spacing w:val="-11"/>
        </w:rPr>
        <w:t xml:space="preserve"> </w:t>
      </w:r>
      <w:r>
        <w:t>MPhil</w:t>
      </w:r>
      <w:r>
        <w:rPr>
          <w:spacing w:val="-11"/>
        </w:rPr>
        <w:t xml:space="preserve"> </w:t>
      </w:r>
      <w:r>
        <w:t>and</w:t>
      </w:r>
      <w:r>
        <w:rPr>
          <w:spacing w:val="-10"/>
        </w:rPr>
        <w:t xml:space="preserve"> </w:t>
      </w:r>
      <w:r>
        <w:t>PhD</w:t>
      </w:r>
      <w:r>
        <w:rPr>
          <w:spacing w:val="-13"/>
        </w:rPr>
        <w:t xml:space="preserve"> </w:t>
      </w:r>
      <w:r>
        <w:t>research</w:t>
      </w:r>
      <w:r>
        <w:rPr>
          <w:spacing w:val="-10"/>
        </w:rPr>
        <w:t xml:space="preserve"> </w:t>
      </w:r>
      <w:r>
        <w:t>students.</w:t>
      </w:r>
    </w:p>
    <w:p w14:paraId="506942F9" w14:textId="77777777" w:rsidR="00840FBF" w:rsidRDefault="009071C6">
      <w:pPr>
        <w:pStyle w:val="ListParagraph"/>
        <w:numPr>
          <w:ilvl w:val="0"/>
          <w:numId w:val="138"/>
        </w:numPr>
        <w:ind w:left="1077" w:hanging="720"/>
      </w:pPr>
      <w:r>
        <w:rPr>
          <w:w w:val="90"/>
        </w:rPr>
        <w:t>Oversee</w:t>
      </w:r>
      <w:r>
        <w:rPr>
          <w:spacing w:val="-8"/>
          <w:w w:val="90"/>
        </w:rPr>
        <w:t xml:space="preserve"> </w:t>
      </w:r>
      <w:r>
        <w:rPr>
          <w:w w:val="90"/>
        </w:rPr>
        <w:t>the</w:t>
      </w:r>
      <w:r>
        <w:rPr>
          <w:spacing w:val="-10"/>
          <w:w w:val="90"/>
        </w:rPr>
        <w:t xml:space="preserve"> </w:t>
      </w:r>
      <w:r>
        <w:rPr>
          <w:w w:val="90"/>
        </w:rPr>
        <w:t>implementation</w:t>
      </w:r>
      <w:r>
        <w:rPr>
          <w:spacing w:val="-7"/>
          <w:w w:val="90"/>
        </w:rPr>
        <w:t xml:space="preserve"> </w:t>
      </w:r>
      <w:r>
        <w:rPr>
          <w:w w:val="90"/>
        </w:rPr>
        <w:t>of</w:t>
      </w:r>
      <w:r>
        <w:rPr>
          <w:spacing w:val="-9"/>
          <w:w w:val="90"/>
        </w:rPr>
        <w:t xml:space="preserve"> </w:t>
      </w:r>
      <w:r>
        <w:rPr>
          <w:w w:val="90"/>
        </w:rPr>
        <w:t>the</w:t>
      </w:r>
      <w:r>
        <w:rPr>
          <w:spacing w:val="-10"/>
          <w:w w:val="90"/>
        </w:rPr>
        <w:t xml:space="preserve"> </w:t>
      </w:r>
      <w:r>
        <w:rPr>
          <w:w w:val="90"/>
        </w:rPr>
        <w:t>College’s</w:t>
      </w:r>
      <w:r>
        <w:rPr>
          <w:spacing w:val="-10"/>
          <w:w w:val="90"/>
        </w:rPr>
        <w:t xml:space="preserve"> </w:t>
      </w:r>
      <w:r>
        <w:rPr>
          <w:w w:val="90"/>
        </w:rPr>
        <w:t>quality</w:t>
      </w:r>
      <w:r>
        <w:rPr>
          <w:spacing w:val="-8"/>
          <w:w w:val="90"/>
        </w:rPr>
        <w:t xml:space="preserve"> </w:t>
      </w:r>
      <w:r>
        <w:rPr>
          <w:w w:val="90"/>
        </w:rPr>
        <w:t>assurance</w:t>
      </w:r>
      <w:r>
        <w:rPr>
          <w:spacing w:val="-7"/>
          <w:w w:val="90"/>
        </w:rPr>
        <w:t xml:space="preserve"> </w:t>
      </w:r>
      <w:r>
        <w:rPr>
          <w:w w:val="90"/>
        </w:rPr>
        <w:t>and</w:t>
      </w:r>
      <w:r>
        <w:rPr>
          <w:spacing w:val="-8"/>
          <w:w w:val="90"/>
        </w:rPr>
        <w:t xml:space="preserve"> </w:t>
      </w:r>
      <w:r>
        <w:rPr>
          <w:w w:val="90"/>
        </w:rPr>
        <w:t xml:space="preserve">enhancement </w:t>
      </w:r>
      <w:r>
        <w:rPr>
          <w:w w:val="95"/>
        </w:rPr>
        <w:t>processes</w:t>
      </w:r>
      <w:r>
        <w:rPr>
          <w:spacing w:val="-32"/>
          <w:w w:val="95"/>
        </w:rPr>
        <w:t xml:space="preserve"> </w:t>
      </w:r>
      <w:r>
        <w:rPr>
          <w:w w:val="95"/>
        </w:rPr>
        <w:t>in</w:t>
      </w:r>
      <w:r>
        <w:rPr>
          <w:spacing w:val="-32"/>
          <w:w w:val="95"/>
        </w:rPr>
        <w:t xml:space="preserve"> </w:t>
      </w:r>
      <w:r>
        <w:rPr>
          <w:w w:val="95"/>
        </w:rPr>
        <w:t>relation</w:t>
      </w:r>
      <w:r>
        <w:rPr>
          <w:spacing w:val="-32"/>
          <w:w w:val="95"/>
        </w:rPr>
        <w:t xml:space="preserve"> </w:t>
      </w:r>
      <w:r>
        <w:rPr>
          <w:w w:val="95"/>
        </w:rPr>
        <w:t>to</w:t>
      </w:r>
      <w:r>
        <w:rPr>
          <w:spacing w:val="-31"/>
          <w:w w:val="95"/>
        </w:rPr>
        <w:t xml:space="preserve"> </w:t>
      </w:r>
      <w:r>
        <w:rPr>
          <w:w w:val="95"/>
        </w:rPr>
        <w:t>research</w:t>
      </w:r>
      <w:r>
        <w:rPr>
          <w:spacing w:val="-30"/>
          <w:w w:val="95"/>
        </w:rPr>
        <w:t xml:space="preserve"> </w:t>
      </w:r>
      <w:r>
        <w:rPr>
          <w:w w:val="95"/>
        </w:rPr>
        <w:t>students,</w:t>
      </w:r>
      <w:r>
        <w:rPr>
          <w:spacing w:val="-32"/>
          <w:w w:val="95"/>
        </w:rPr>
        <w:t xml:space="preserve"> </w:t>
      </w:r>
      <w:r>
        <w:rPr>
          <w:w w:val="95"/>
        </w:rPr>
        <w:t>liaising</w:t>
      </w:r>
      <w:r>
        <w:rPr>
          <w:spacing w:val="-32"/>
          <w:w w:val="95"/>
        </w:rPr>
        <w:t xml:space="preserve"> </w:t>
      </w:r>
      <w:r>
        <w:rPr>
          <w:w w:val="95"/>
        </w:rPr>
        <w:t>where</w:t>
      </w:r>
      <w:r>
        <w:rPr>
          <w:spacing w:val="-31"/>
          <w:w w:val="95"/>
        </w:rPr>
        <w:t xml:space="preserve"> </w:t>
      </w:r>
      <w:r>
        <w:rPr>
          <w:w w:val="95"/>
        </w:rPr>
        <w:t>appropriate</w:t>
      </w:r>
      <w:r>
        <w:rPr>
          <w:spacing w:val="-31"/>
          <w:w w:val="95"/>
        </w:rPr>
        <w:t xml:space="preserve"> </w:t>
      </w:r>
      <w:r>
        <w:rPr>
          <w:w w:val="95"/>
        </w:rPr>
        <w:t>with</w:t>
      </w:r>
      <w:r>
        <w:rPr>
          <w:spacing w:val="-33"/>
          <w:w w:val="95"/>
        </w:rPr>
        <w:t xml:space="preserve"> </w:t>
      </w:r>
      <w:r>
        <w:rPr>
          <w:w w:val="95"/>
        </w:rPr>
        <w:t>other committees and colleagues in registry</w:t>
      </w:r>
      <w:r>
        <w:t>.</w:t>
      </w:r>
    </w:p>
    <w:p w14:paraId="713B3394" w14:textId="77777777" w:rsidR="00840FBF" w:rsidRDefault="009071C6">
      <w:pPr>
        <w:pStyle w:val="ListParagraph"/>
        <w:numPr>
          <w:ilvl w:val="0"/>
          <w:numId w:val="138"/>
        </w:numPr>
        <w:ind w:left="1077" w:hanging="720"/>
      </w:pPr>
      <w:r>
        <w:rPr>
          <w:w w:val="90"/>
        </w:rPr>
        <w:t>Oversee</w:t>
      </w:r>
      <w:r>
        <w:rPr>
          <w:spacing w:val="-8"/>
          <w:w w:val="90"/>
        </w:rPr>
        <w:t xml:space="preserve"> </w:t>
      </w:r>
      <w:r>
        <w:rPr>
          <w:w w:val="90"/>
        </w:rPr>
        <w:t>the</w:t>
      </w:r>
      <w:r>
        <w:rPr>
          <w:spacing w:val="-9"/>
          <w:w w:val="90"/>
        </w:rPr>
        <w:t xml:space="preserve"> </w:t>
      </w:r>
      <w:r>
        <w:rPr>
          <w:w w:val="90"/>
        </w:rPr>
        <w:t>development</w:t>
      </w:r>
      <w:r>
        <w:rPr>
          <w:spacing w:val="-9"/>
          <w:w w:val="90"/>
        </w:rPr>
        <w:t xml:space="preserve"> </w:t>
      </w:r>
      <w:r>
        <w:rPr>
          <w:w w:val="90"/>
        </w:rPr>
        <w:t>of</w:t>
      </w:r>
      <w:r>
        <w:rPr>
          <w:spacing w:val="-7"/>
          <w:w w:val="90"/>
        </w:rPr>
        <w:t xml:space="preserve"> </w:t>
      </w:r>
      <w:r>
        <w:rPr>
          <w:w w:val="90"/>
        </w:rPr>
        <w:t>applications</w:t>
      </w:r>
      <w:r>
        <w:rPr>
          <w:spacing w:val="-10"/>
          <w:w w:val="90"/>
        </w:rPr>
        <w:t xml:space="preserve"> </w:t>
      </w:r>
      <w:r>
        <w:rPr>
          <w:w w:val="90"/>
        </w:rPr>
        <w:t>for</w:t>
      </w:r>
      <w:r>
        <w:rPr>
          <w:spacing w:val="-8"/>
          <w:w w:val="90"/>
        </w:rPr>
        <w:t xml:space="preserve"> </w:t>
      </w:r>
      <w:r>
        <w:rPr>
          <w:w w:val="90"/>
        </w:rPr>
        <w:t>research</w:t>
      </w:r>
      <w:r>
        <w:rPr>
          <w:spacing w:val="-7"/>
          <w:w w:val="90"/>
        </w:rPr>
        <w:t xml:space="preserve"> </w:t>
      </w:r>
      <w:r>
        <w:rPr>
          <w:w w:val="90"/>
        </w:rPr>
        <w:t>studentship</w:t>
      </w:r>
      <w:r>
        <w:rPr>
          <w:spacing w:val="-8"/>
          <w:w w:val="90"/>
        </w:rPr>
        <w:t xml:space="preserve"> </w:t>
      </w:r>
      <w:r>
        <w:rPr>
          <w:w w:val="90"/>
        </w:rPr>
        <w:t xml:space="preserve">funding, </w:t>
      </w:r>
      <w:r>
        <w:t>including</w:t>
      </w:r>
      <w:r>
        <w:rPr>
          <w:spacing w:val="-24"/>
        </w:rPr>
        <w:t xml:space="preserve"> </w:t>
      </w:r>
      <w:r>
        <w:t>block</w:t>
      </w:r>
      <w:r>
        <w:rPr>
          <w:spacing w:val="-26"/>
        </w:rPr>
        <w:t xml:space="preserve"> </w:t>
      </w:r>
      <w:r>
        <w:t>grant</w:t>
      </w:r>
      <w:r>
        <w:rPr>
          <w:spacing w:val="-22"/>
        </w:rPr>
        <w:t xml:space="preserve"> </w:t>
      </w:r>
      <w:r>
        <w:t>funding</w:t>
      </w:r>
      <w:r>
        <w:rPr>
          <w:spacing w:val="-23"/>
        </w:rPr>
        <w:t xml:space="preserve"> </w:t>
      </w:r>
      <w:r>
        <w:t>from</w:t>
      </w:r>
      <w:r>
        <w:rPr>
          <w:spacing w:val="-24"/>
        </w:rPr>
        <w:t xml:space="preserve"> </w:t>
      </w:r>
      <w:r>
        <w:t>the</w:t>
      </w:r>
      <w:r>
        <w:rPr>
          <w:spacing w:val="-25"/>
        </w:rPr>
        <w:t xml:space="preserve"> </w:t>
      </w:r>
      <w:r>
        <w:t>research</w:t>
      </w:r>
      <w:r>
        <w:rPr>
          <w:spacing w:val="-23"/>
        </w:rPr>
        <w:t xml:space="preserve"> </w:t>
      </w:r>
      <w:r>
        <w:t>councils;</w:t>
      </w:r>
    </w:p>
    <w:p w14:paraId="0736AEE7" w14:textId="77777777" w:rsidR="00840FBF" w:rsidRDefault="009071C6">
      <w:pPr>
        <w:pStyle w:val="ListParagraph"/>
        <w:numPr>
          <w:ilvl w:val="0"/>
          <w:numId w:val="138"/>
        </w:numPr>
        <w:ind w:left="1077" w:hanging="720"/>
      </w:pPr>
      <w:r>
        <w:t>Oversee</w:t>
      </w:r>
      <w:r>
        <w:rPr>
          <w:spacing w:val="-29"/>
        </w:rPr>
        <w:t xml:space="preserve"> </w:t>
      </w:r>
      <w:r>
        <w:t>the</w:t>
      </w:r>
      <w:r>
        <w:rPr>
          <w:spacing w:val="-30"/>
        </w:rPr>
        <w:t xml:space="preserve"> </w:t>
      </w:r>
      <w:r>
        <w:t>management</w:t>
      </w:r>
      <w:r>
        <w:rPr>
          <w:spacing w:val="-29"/>
        </w:rPr>
        <w:t xml:space="preserve"> </w:t>
      </w:r>
      <w:r>
        <w:t>and</w:t>
      </w:r>
      <w:r>
        <w:rPr>
          <w:spacing w:val="-29"/>
        </w:rPr>
        <w:t xml:space="preserve"> </w:t>
      </w:r>
      <w:r>
        <w:t>operation</w:t>
      </w:r>
      <w:r>
        <w:rPr>
          <w:spacing w:val="-29"/>
        </w:rPr>
        <w:t xml:space="preserve"> </w:t>
      </w:r>
      <w:r>
        <w:t>of</w:t>
      </w:r>
      <w:r>
        <w:rPr>
          <w:spacing w:val="-30"/>
        </w:rPr>
        <w:t xml:space="preserve"> </w:t>
      </w:r>
      <w:r>
        <w:t>the</w:t>
      </w:r>
      <w:r>
        <w:rPr>
          <w:spacing w:val="-30"/>
        </w:rPr>
        <w:t xml:space="preserve"> </w:t>
      </w:r>
      <w:r>
        <w:t>Graduate Research</w:t>
      </w:r>
      <w:r>
        <w:rPr>
          <w:spacing w:val="-29"/>
        </w:rPr>
        <w:t xml:space="preserve"> </w:t>
      </w:r>
      <w:r>
        <w:t>School.</w:t>
      </w:r>
    </w:p>
    <w:p w14:paraId="57E08A64" w14:textId="77777777" w:rsidR="00840FBF" w:rsidRDefault="009071C6">
      <w:pPr>
        <w:pStyle w:val="ListParagraph"/>
        <w:numPr>
          <w:ilvl w:val="0"/>
          <w:numId w:val="138"/>
        </w:numPr>
        <w:ind w:left="1077" w:hanging="720"/>
      </w:pPr>
      <w:r>
        <w:t>Oversee</w:t>
      </w:r>
      <w:r>
        <w:rPr>
          <w:spacing w:val="-43"/>
        </w:rPr>
        <w:t xml:space="preserve"> </w:t>
      </w:r>
      <w:r>
        <w:t>the</w:t>
      </w:r>
      <w:r>
        <w:rPr>
          <w:spacing w:val="-43"/>
        </w:rPr>
        <w:t xml:space="preserve"> </w:t>
      </w:r>
      <w:r>
        <w:t>research</w:t>
      </w:r>
      <w:r>
        <w:rPr>
          <w:spacing w:val="-43"/>
        </w:rPr>
        <w:t xml:space="preserve"> </w:t>
      </w:r>
      <w:r>
        <w:t>degree</w:t>
      </w:r>
      <w:r>
        <w:rPr>
          <w:spacing w:val="-42"/>
        </w:rPr>
        <w:t xml:space="preserve"> </w:t>
      </w:r>
      <w:r>
        <w:t>examination</w:t>
      </w:r>
      <w:r>
        <w:rPr>
          <w:spacing w:val="-43"/>
        </w:rPr>
        <w:t xml:space="preserve"> </w:t>
      </w:r>
      <w:r>
        <w:t>processes</w:t>
      </w:r>
      <w:r>
        <w:rPr>
          <w:spacing w:val="-43"/>
        </w:rPr>
        <w:t xml:space="preserve"> </w:t>
      </w:r>
      <w:r>
        <w:t>operated</w:t>
      </w:r>
      <w:r>
        <w:rPr>
          <w:spacing w:val="-42"/>
        </w:rPr>
        <w:t xml:space="preserve"> </w:t>
      </w:r>
      <w:r>
        <w:t>by</w:t>
      </w:r>
      <w:r>
        <w:rPr>
          <w:spacing w:val="-44"/>
        </w:rPr>
        <w:t xml:space="preserve"> </w:t>
      </w:r>
      <w:r>
        <w:t>the</w:t>
      </w:r>
      <w:r>
        <w:rPr>
          <w:spacing w:val="-43"/>
        </w:rPr>
        <w:t xml:space="preserve"> </w:t>
      </w:r>
      <w:r>
        <w:t>College.</w:t>
      </w:r>
    </w:p>
    <w:p w14:paraId="5C29FA30" w14:textId="77777777" w:rsidR="00840FBF" w:rsidRDefault="009071C6">
      <w:pPr>
        <w:pStyle w:val="ListParagraph"/>
        <w:numPr>
          <w:ilvl w:val="0"/>
          <w:numId w:val="138"/>
        </w:numPr>
        <w:ind w:left="1077" w:hanging="720"/>
      </w:pPr>
      <w:proofErr w:type="gramStart"/>
      <w:r>
        <w:t>Approve</w:t>
      </w:r>
      <w:proofErr w:type="gramEnd"/>
      <w:r>
        <w:t xml:space="preserve"> research degree programme</w:t>
      </w:r>
      <w:r>
        <w:rPr>
          <w:spacing w:val="-31"/>
        </w:rPr>
        <w:t xml:space="preserve"> </w:t>
      </w:r>
      <w:r>
        <w:t>proposals.</w:t>
      </w:r>
    </w:p>
    <w:p w14:paraId="4F8250AF" w14:textId="77777777" w:rsidR="00840FBF" w:rsidRDefault="00840FBF">
      <w:pPr>
        <w:pageBreakBefore/>
        <w:suppressAutoHyphens w:val="0"/>
        <w:rPr>
          <w:b/>
          <w:bCs/>
          <w:sz w:val="22"/>
        </w:rPr>
      </w:pPr>
    </w:p>
    <w:p w14:paraId="1747EDC5" w14:textId="5970174E" w:rsidR="00840FBF" w:rsidRDefault="009071C6" w:rsidP="00032C0D">
      <w:pPr>
        <w:pStyle w:val="Heading2"/>
        <w:spacing w:after="240"/>
        <w:jc w:val="center"/>
      </w:pPr>
      <w:r>
        <w:t xml:space="preserve">Appendix </w:t>
      </w:r>
      <w:r w:rsidR="00EE0545">
        <w:t>2.</w:t>
      </w:r>
      <w:r>
        <w:t>3: REF Equality, Diversity and Inclusion Panel Membership and Roles</w:t>
      </w:r>
    </w:p>
    <w:p w14:paraId="7316789D" w14:textId="77777777" w:rsidR="00840FBF" w:rsidRDefault="009071C6" w:rsidP="005A7A7C">
      <w:pPr>
        <w:autoSpaceDE w:val="0"/>
        <w:spacing w:after="240"/>
        <w:rPr>
          <w:bCs/>
          <w:sz w:val="22"/>
        </w:rPr>
      </w:pPr>
      <w:r>
        <w:rPr>
          <w:bCs/>
          <w:sz w:val="22"/>
        </w:rPr>
        <w:t>REF Equality, Diversity and Inclusion Panel</w:t>
      </w:r>
    </w:p>
    <w:p w14:paraId="5B935C15" w14:textId="63876C0D" w:rsidR="00840FBF" w:rsidRDefault="009071C6">
      <w:pPr>
        <w:pStyle w:val="ListParagraph"/>
        <w:numPr>
          <w:ilvl w:val="0"/>
          <w:numId w:val="22"/>
        </w:numPr>
        <w:suppressAutoHyphens w:val="0"/>
        <w:autoSpaceDE w:val="0"/>
        <w:spacing w:after="0" w:line="276" w:lineRule="auto"/>
        <w:contextualSpacing/>
        <w:textAlignment w:val="auto"/>
      </w:pPr>
      <w:r>
        <w:t xml:space="preserve">Chair of the Equality Diversity and Inclusion Committee (Chair) </w:t>
      </w:r>
    </w:p>
    <w:p w14:paraId="3F407A61" w14:textId="5D4916CC" w:rsidR="00840FBF" w:rsidRDefault="009071C6">
      <w:pPr>
        <w:pStyle w:val="ListParagraph"/>
        <w:numPr>
          <w:ilvl w:val="0"/>
          <w:numId w:val="22"/>
        </w:numPr>
        <w:suppressAutoHyphens w:val="0"/>
        <w:autoSpaceDE w:val="0"/>
        <w:spacing w:after="0" w:line="276" w:lineRule="auto"/>
        <w:contextualSpacing/>
        <w:textAlignment w:val="auto"/>
      </w:pPr>
      <w:r>
        <w:t xml:space="preserve">HR Data Analyst </w:t>
      </w:r>
    </w:p>
    <w:p w14:paraId="27A3B288" w14:textId="57FC7569" w:rsidR="00840FBF" w:rsidRDefault="009071C6">
      <w:pPr>
        <w:pStyle w:val="ListParagraph"/>
        <w:numPr>
          <w:ilvl w:val="0"/>
          <w:numId w:val="22"/>
        </w:numPr>
        <w:suppressAutoHyphens w:val="0"/>
        <w:autoSpaceDE w:val="0"/>
        <w:spacing w:after="0" w:line="276" w:lineRule="auto"/>
        <w:contextualSpacing/>
        <w:textAlignment w:val="auto"/>
      </w:pPr>
      <w:r>
        <w:t xml:space="preserve">Deputy Director of HR </w:t>
      </w:r>
    </w:p>
    <w:p w14:paraId="2A9F6D4C" w14:textId="77777777" w:rsidR="00840FBF" w:rsidRDefault="009071C6" w:rsidP="005A7A7C">
      <w:pPr>
        <w:autoSpaceDE w:val="0"/>
        <w:spacing w:before="160" w:after="0"/>
      </w:pPr>
      <w:r>
        <w:rPr>
          <w:bCs/>
          <w:sz w:val="22"/>
        </w:rPr>
        <w:t>The Chair’s role is to provide the necessary academic rigour to the data processing</w:t>
      </w:r>
      <w:proofErr w:type="gramStart"/>
      <w:r>
        <w:rPr>
          <w:bCs/>
          <w:sz w:val="22"/>
        </w:rPr>
        <w:t>, the</w:t>
      </w:r>
      <w:proofErr w:type="gramEnd"/>
      <w:r>
        <w:rPr>
          <w:bCs/>
          <w:sz w:val="22"/>
        </w:rPr>
        <w:t xml:space="preserve"> </w:t>
      </w:r>
      <w:r>
        <w:rPr>
          <w:sz w:val="22"/>
        </w:rPr>
        <w:t>HR Data Analyst brings an in-depth understanding of HESA and our equalities data and how the calculations were performed</w:t>
      </w:r>
      <w:proofErr w:type="gramStart"/>
      <w:r>
        <w:rPr>
          <w:sz w:val="22"/>
        </w:rPr>
        <w:t>, the</w:t>
      </w:r>
      <w:proofErr w:type="gramEnd"/>
      <w:r>
        <w:rPr>
          <w:sz w:val="22"/>
        </w:rPr>
        <w:t xml:space="preserve"> Deputy Director of HR brings a detailed understanding of equality and diversity issues.</w:t>
      </w:r>
    </w:p>
    <w:p w14:paraId="05F9957C" w14:textId="3BA1B392" w:rsidR="00840FBF" w:rsidRDefault="009071C6" w:rsidP="005A7A7C">
      <w:pPr>
        <w:pStyle w:val="Heading2"/>
        <w:jc w:val="center"/>
      </w:pPr>
      <w:r>
        <w:t xml:space="preserve">Appendix </w:t>
      </w:r>
      <w:r w:rsidR="00EE0545">
        <w:t>2.</w:t>
      </w:r>
      <w:r>
        <w:t>4: Appeals Panels Membership and Roles</w:t>
      </w:r>
    </w:p>
    <w:p w14:paraId="389271F3" w14:textId="77777777" w:rsidR="00840FBF" w:rsidRDefault="009071C6" w:rsidP="005A7A7C">
      <w:pPr>
        <w:autoSpaceDE w:val="0"/>
        <w:spacing w:before="120" w:after="0"/>
      </w:pPr>
      <w:r>
        <w:rPr>
          <w:b/>
          <w:bCs/>
          <w:sz w:val="22"/>
        </w:rPr>
        <w:t xml:space="preserve">Researcher Independence Appeals: </w:t>
      </w:r>
      <w:r>
        <w:rPr>
          <w:sz w:val="22"/>
        </w:rPr>
        <w:t xml:space="preserve">Panel only to be convened in the event there is an appeal. </w:t>
      </w:r>
    </w:p>
    <w:p w14:paraId="652A3CA9" w14:textId="77777777" w:rsidR="00840FBF" w:rsidRDefault="009071C6">
      <w:pPr>
        <w:rPr>
          <w:sz w:val="22"/>
        </w:rPr>
      </w:pPr>
      <w:r>
        <w:rPr>
          <w:sz w:val="22"/>
        </w:rPr>
        <w:t>Membership:</w:t>
      </w:r>
    </w:p>
    <w:p w14:paraId="206600E1" w14:textId="77777777" w:rsidR="00840FBF" w:rsidRDefault="009071C6">
      <w:pPr>
        <w:pStyle w:val="ListParagraph"/>
        <w:numPr>
          <w:ilvl w:val="0"/>
          <w:numId w:val="23"/>
        </w:numPr>
      </w:pPr>
      <w:r>
        <w:t xml:space="preserve">REF </w:t>
      </w:r>
      <w:proofErr w:type="gramStart"/>
      <w:r>
        <w:t>Lead</w:t>
      </w:r>
      <w:proofErr w:type="gramEnd"/>
      <w:r>
        <w:t xml:space="preserve"> from a different </w:t>
      </w:r>
      <w:proofErr w:type="spellStart"/>
      <w:r>
        <w:t>UoA</w:t>
      </w:r>
      <w:proofErr w:type="spellEnd"/>
      <w:r>
        <w:t xml:space="preserve"> and Faculty (Chair), </w:t>
      </w:r>
    </w:p>
    <w:p w14:paraId="043C7748" w14:textId="77777777" w:rsidR="00840FBF" w:rsidRDefault="009071C6">
      <w:pPr>
        <w:pStyle w:val="ListParagraph"/>
        <w:numPr>
          <w:ilvl w:val="0"/>
          <w:numId w:val="23"/>
        </w:numPr>
      </w:pPr>
      <w:r>
        <w:t>a</w:t>
      </w:r>
      <w:r>
        <w:rPr>
          <w:color w:val="000000"/>
        </w:rPr>
        <w:t xml:space="preserve"> senior academic from a cognate discipline,</w:t>
      </w:r>
    </w:p>
    <w:p w14:paraId="1EB8B9D5" w14:textId="77777777" w:rsidR="00840FBF" w:rsidRDefault="009071C6">
      <w:pPr>
        <w:pStyle w:val="ListParagraph"/>
        <w:numPr>
          <w:ilvl w:val="0"/>
          <w:numId w:val="23"/>
        </w:numPr>
        <w:autoSpaceDE w:val="0"/>
        <w:spacing w:after="0"/>
        <w:sectPr w:rsidR="00840FBF" w:rsidSect="008B73B0">
          <w:pgSz w:w="12240" w:h="15840"/>
          <w:pgMar w:top="1134" w:right="1134" w:bottom="1134" w:left="1134" w:header="720" w:footer="720" w:gutter="0"/>
          <w:cols w:space="720"/>
          <w:titlePg/>
          <w:docGrid w:linePitch="286"/>
        </w:sectPr>
      </w:pPr>
      <w:r>
        <w:rPr>
          <w:color w:val="000000"/>
        </w:rPr>
        <w:t xml:space="preserve">a member of the Equality, Diversity and Inclusion Committee. </w:t>
      </w:r>
    </w:p>
    <w:p w14:paraId="2FBDEE75" w14:textId="5D767291" w:rsidR="00840FBF" w:rsidRDefault="009071C6" w:rsidP="00544B6D">
      <w:pPr>
        <w:pStyle w:val="Heading2"/>
        <w:spacing w:after="120"/>
        <w:jc w:val="center"/>
      </w:pPr>
      <w:r>
        <w:lastRenderedPageBreak/>
        <w:t xml:space="preserve">Appendix </w:t>
      </w:r>
      <w:r w:rsidR="00EE0545">
        <w:t>2.</w:t>
      </w:r>
      <w:r>
        <w:t>5: College Committee structure</w:t>
      </w:r>
    </w:p>
    <w:p w14:paraId="3A526A02" w14:textId="77777777" w:rsidR="00840FBF" w:rsidRDefault="009071C6">
      <w:pPr>
        <w:autoSpaceDE w:val="0"/>
        <w:spacing w:after="0"/>
        <w:jc w:val="center"/>
        <w:sectPr w:rsidR="00840FBF" w:rsidSect="00411BAD">
          <w:headerReference w:type="default" r:id="rId21"/>
          <w:footerReference w:type="default" r:id="rId22"/>
          <w:pgSz w:w="15840" w:h="12240" w:orient="landscape"/>
          <w:pgMar w:top="1134" w:right="1134" w:bottom="1134" w:left="1134" w:header="720" w:footer="720" w:gutter="0"/>
          <w:cols w:space="720"/>
        </w:sectPr>
      </w:pPr>
      <w:r>
        <w:rPr>
          <w:b/>
          <w:bCs/>
          <w:noProof/>
          <w:sz w:val="22"/>
        </w:rPr>
        <w:drawing>
          <wp:inline distT="0" distB="0" distL="0" distR="0" wp14:anchorId="7A8DA0A6" wp14:editId="20913FC2">
            <wp:extent cx="8331628" cy="5207270"/>
            <wp:effectExtent l="0" t="0" r="0" b="0"/>
            <wp:docPr id="109362568" name="Picture 1" descr="Birkbeck, University of London’s 2025–26 committee structure places Governors above the University Strategy Board, Nominations Committee, Finance and General Purposes Committee, Remuneration Committee, Audit Committee, and Academic Board. The University Strategy Board oversees the University Delivery Board, which connects to the Human Resources Strategy and Policy Committee, Innovation and Commercialisation Board, College Ethics Committee, Health and Safety Committee, Genetic Modification Sub-Committee, Student Recruitment Committee, Equality, Diversity and Inclusion Committee, Growth Steering Group, and Risk Management Group. The Finance and General Purposes Committee oversees the Investment Committee, Strategic Estates and Infrastructure Committee, and Digital Committee. The Academic Board branch includes the Academic Board Executive Committee, Education and Student Experience Committee, and Research Committee. The Education and Student Experience Committee oversees the College Programmes Committee and College Board of Examiners. The Research Committee oversees the Research Strategy Group, Open Research Working Group, and Research Excellence Framework Working Party."/>
            <wp:cNvGraphicFramePr/>
            <a:graphic xmlns:a="http://schemas.openxmlformats.org/drawingml/2006/main">
              <a:graphicData uri="http://schemas.openxmlformats.org/drawingml/2006/picture">
                <pic:pic xmlns:pic="http://schemas.openxmlformats.org/drawingml/2006/picture">
                  <pic:nvPicPr>
                    <pic:cNvPr id="109362568" name="Picture 1" descr="Birkbeck, University of London’s 2025–26 committee structure places Governors above the University Strategy Board, Nominations Committee, Finance and General Purposes Committee, Remuneration Committee, Audit Committee, and Academic Board. The University Strategy Board oversees the University Delivery Board, which connects to the Human Resources Strategy and Policy Committee, Innovation and Commercialisation Board, College Ethics Committee, Health and Safety Committee, Genetic Modification Sub-Committee, Student Recruitment Committee, Equality, Diversity and Inclusion Committee, Growth Steering Group, and Risk Management Group. The Finance and General Purposes Committee oversees the Investment Committee, Strategic Estates and Infrastructure Committee, and Digital Committee. The Academic Board branch includes the Academic Board Executive Committee, Education and Student Experience Committee, and Research Committee. The Education and Student Experience Committee oversees the College Programmes Committee and College Board of Examiners. The Research Committee oversees the Research Strategy Group, Open Research Working Group, and Research Excellence Framework Working Party."/>
                    <pic:cNvPicPr/>
                  </pic:nvPicPr>
                  <pic:blipFill>
                    <a:blip r:embed="rId23"/>
                    <a:stretch>
                      <a:fillRect/>
                    </a:stretch>
                  </pic:blipFill>
                  <pic:spPr>
                    <a:xfrm>
                      <a:off x="0" y="0"/>
                      <a:ext cx="8331628" cy="5207270"/>
                    </a:xfrm>
                    <a:prstGeom prst="rect">
                      <a:avLst/>
                    </a:prstGeom>
                    <a:noFill/>
                    <a:ln>
                      <a:noFill/>
                      <a:prstDash/>
                    </a:ln>
                  </pic:spPr>
                </pic:pic>
              </a:graphicData>
            </a:graphic>
          </wp:inline>
        </w:drawing>
      </w:r>
    </w:p>
    <w:p w14:paraId="06B9AEDD" w14:textId="7B5059EE" w:rsidR="00840FBF" w:rsidRDefault="009071C6" w:rsidP="00306D13">
      <w:pPr>
        <w:pStyle w:val="Heading2"/>
        <w:spacing w:after="160"/>
        <w:jc w:val="center"/>
      </w:pPr>
      <w:r>
        <w:lastRenderedPageBreak/>
        <w:t xml:space="preserve">Appendix </w:t>
      </w:r>
      <w:r w:rsidR="00EE0545">
        <w:t>2.</w:t>
      </w:r>
      <w:r>
        <w:t>6: decision making flow chart</w:t>
      </w:r>
    </w:p>
    <w:p w14:paraId="7756B289" w14:textId="77777777" w:rsidR="00840FBF" w:rsidRDefault="009071C6">
      <w:pPr>
        <w:autoSpaceDE w:val="0"/>
        <w:spacing w:after="0"/>
      </w:pPr>
      <w:r>
        <w:rPr>
          <w:b/>
          <w:bCs/>
          <w:noProof/>
          <w:sz w:val="22"/>
        </w:rPr>
        <w:drawing>
          <wp:inline distT="0" distB="0" distL="0" distR="0" wp14:anchorId="3CA0ED90" wp14:editId="1B1EEDB0">
            <wp:extent cx="6394454" cy="4838703"/>
            <wp:effectExtent l="0" t="0" r="6346" b="0"/>
            <wp:docPr id="161081930" name="Picture 1" descr="A flowchart shows Birkbeck’s Research Excellence Framework output-selection process. A Unit of Assessment reading group reads and ranks outputs and recommends them to a Unit of Assessment panel, which recommends selections to the Research Excellence Framework Working Party. The Working Party selects outputs, and the Research Strategy Group reviews the recommendations and checks whether consent processes were applied. If approved, the Vice-Chancellor approves the final submission; otherwise, the Vice-Chancellor seeks advice from the Academic Board. Approved submissions are returned as final. Outputs not selected or approved return to the reading group. The reading group may also recommend cross-referral or return outputs to more than one Unit of Assessment. A Research Excellence Framework equality, diversity, and inclusion panel reviews data for selected outputs and notifies Unit of Assessment panels of statistically significant anomalies. An independent researcher’s application proceeds to the reading group if accepted by the Research Strategy Group or if a rejected applicant’s appeal is upheld."/>
            <wp:cNvGraphicFramePr/>
            <a:graphic xmlns:a="http://schemas.openxmlformats.org/drawingml/2006/main">
              <a:graphicData uri="http://schemas.openxmlformats.org/drawingml/2006/picture">
                <pic:pic xmlns:pic="http://schemas.openxmlformats.org/drawingml/2006/picture">
                  <pic:nvPicPr>
                    <pic:cNvPr id="161081930" name="Picture 1" descr="A flowchart shows Birkbeck’s Research Excellence Framework output-selection process. A Unit of Assessment reading group reads and ranks outputs and recommends them to a Unit of Assessment panel, which recommends selections to the Research Excellence Framework Working Party. The Working Party selects outputs, and the Research Strategy Group reviews the recommendations and checks whether consent processes were applied. If approved, the Vice-Chancellor approves the final submission; otherwise, the Vice-Chancellor seeks advice from the Academic Board. Approved submissions are returned as final. Outputs not selected or approved return to the reading group. The reading group may also recommend cross-referral or return outputs to more than one Unit of Assessment. A Research Excellence Framework equality, diversity, and inclusion panel reviews data for selected outputs and notifies Unit of Assessment panels of statistically significant anomalies. An independent researcher’s application proceeds to the reading group if accepted by the Research Strategy Group or if a rejected applicant’s appeal is upheld."/>
                    <pic:cNvPicPr/>
                  </pic:nvPicPr>
                  <pic:blipFill>
                    <a:blip r:embed="rId24"/>
                    <a:srcRect/>
                    <a:stretch>
                      <a:fillRect/>
                    </a:stretch>
                  </pic:blipFill>
                  <pic:spPr>
                    <a:xfrm>
                      <a:off x="0" y="0"/>
                      <a:ext cx="6394454" cy="4838703"/>
                    </a:xfrm>
                    <a:prstGeom prst="rect">
                      <a:avLst/>
                    </a:prstGeom>
                    <a:noFill/>
                    <a:ln>
                      <a:noFill/>
                      <a:prstDash/>
                    </a:ln>
                  </pic:spPr>
                </pic:pic>
              </a:graphicData>
            </a:graphic>
          </wp:inline>
        </w:drawing>
      </w:r>
    </w:p>
    <w:p w14:paraId="540C1F77" w14:textId="77777777" w:rsidR="00840FBF" w:rsidRDefault="00840FBF">
      <w:pPr>
        <w:autoSpaceDE w:val="0"/>
        <w:spacing w:after="0"/>
        <w:rPr>
          <w:b/>
          <w:bCs/>
          <w:sz w:val="22"/>
        </w:rPr>
      </w:pPr>
    </w:p>
    <w:p w14:paraId="701FEF12" w14:textId="77777777" w:rsidR="00840FBF" w:rsidRDefault="00840FBF">
      <w:pPr>
        <w:pageBreakBefore/>
        <w:suppressAutoHyphens w:val="0"/>
        <w:rPr>
          <w:b/>
          <w:bCs/>
          <w:sz w:val="22"/>
        </w:rPr>
      </w:pPr>
    </w:p>
    <w:p w14:paraId="14237363" w14:textId="415C1D2D" w:rsidR="00840FBF" w:rsidRDefault="009071C6" w:rsidP="00306D13">
      <w:pPr>
        <w:pStyle w:val="Heading2"/>
        <w:spacing w:after="120"/>
        <w:jc w:val="center"/>
      </w:pPr>
      <w:r>
        <w:t xml:space="preserve">Appendix </w:t>
      </w:r>
      <w:r w:rsidR="00EE0545">
        <w:t>2.</w:t>
      </w:r>
      <w:r>
        <w:t>7: Unit of Assessment Panels</w:t>
      </w:r>
    </w:p>
    <w:p w14:paraId="2F0E5B88" w14:textId="77777777" w:rsidR="00840FBF" w:rsidRDefault="009071C6">
      <w:pPr>
        <w:spacing w:after="0"/>
        <w:rPr>
          <w:sz w:val="22"/>
        </w:rPr>
      </w:pPr>
      <w:r>
        <w:rPr>
          <w:sz w:val="22"/>
        </w:rPr>
        <w:t>Faculty of Business and Law</w:t>
      </w:r>
    </w:p>
    <w:p w14:paraId="2106241B" w14:textId="40785297" w:rsidR="00EE0545" w:rsidRDefault="00EE0545">
      <w:pPr>
        <w:spacing w:after="0"/>
        <w:ind w:left="720"/>
        <w:rPr>
          <w:sz w:val="22"/>
        </w:rPr>
      </w:pPr>
      <w:r>
        <w:rPr>
          <w:sz w:val="22"/>
        </w:rPr>
        <w:t>Executive Dean</w:t>
      </w:r>
    </w:p>
    <w:p w14:paraId="54DA3D95" w14:textId="630547C4" w:rsidR="00840FBF" w:rsidRDefault="009071C6">
      <w:pPr>
        <w:spacing w:after="0"/>
        <w:ind w:left="720"/>
        <w:rPr>
          <w:sz w:val="22"/>
        </w:rPr>
      </w:pPr>
      <w:r>
        <w:rPr>
          <w:sz w:val="22"/>
        </w:rPr>
        <w:t>Faculty Head of Research, Innovation and Knowledge Exchange</w:t>
      </w:r>
    </w:p>
    <w:p w14:paraId="53795A6A" w14:textId="77777777" w:rsidR="00840FBF" w:rsidRDefault="009071C6">
      <w:pPr>
        <w:spacing w:after="0"/>
        <w:ind w:left="720" w:firstLine="720"/>
        <w:rPr>
          <w:sz w:val="22"/>
        </w:rPr>
      </w:pPr>
      <w:r>
        <w:rPr>
          <w:sz w:val="22"/>
        </w:rPr>
        <w:t>(Chair)</w:t>
      </w:r>
    </w:p>
    <w:p w14:paraId="718E73D0" w14:textId="5C9F0D08" w:rsidR="00840FBF" w:rsidRDefault="009071C6">
      <w:pPr>
        <w:spacing w:after="0"/>
        <w:ind w:left="720"/>
        <w:rPr>
          <w:sz w:val="22"/>
        </w:rPr>
      </w:pPr>
      <w:r>
        <w:rPr>
          <w:sz w:val="22"/>
        </w:rPr>
        <w:t>REF Leads:</w:t>
      </w:r>
    </w:p>
    <w:p w14:paraId="644BAA03" w14:textId="082CCD69" w:rsidR="00840FBF" w:rsidRDefault="009071C6" w:rsidP="00306D13">
      <w:pPr>
        <w:spacing w:before="120" w:after="0"/>
        <w:ind w:left="720"/>
        <w:rPr>
          <w:sz w:val="22"/>
        </w:rPr>
      </w:pPr>
      <w:r>
        <w:rPr>
          <w:sz w:val="22"/>
        </w:rPr>
        <w:t>Discipline Leads</w:t>
      </w:r>
    </w:p>
    <w:p w14:paraId="7B66AFBB" w14:textId="39D0D73D" w:rsidR="00840FBF" w:rsidRDefault="009071C6" w:rsidP="00FB35E9">
      <w:pPr>
        <w:spacing w:after="0"/>
        <w:ind w:left="5040" w:hanging="4320"/>
        <w:rPr>
          <w:sz w:val="22"/>
        </w:rPr>
      </w:pPr>
      <w:r>
        <w:rPr>
          <w:sz w:val="22"/>
        </w:rPr>
        <w:t xml:space="preserve">Heads of School (or their </w:t>
      </w:r>
      <w:proofErr w:type="gramStart"/>
      <w:r>
        <w:rPr>
          <w:sz w:val="22"/>
        </w:rPr>
        <w:t>nominee</w:t>
      </w:r>
      <w:proofErr w:type="gramEnd"/>
      <w:r>
        <w:rPr>
          <w:sz w:val="22"/>
        </w:rPr>
        <w:t>)</w:t>
      </w:r>
    </w:p>
    <w:p w14:paraId="2D709012" w14:textId="1BDE0B71" w:rsidR="00840FBF" w:rsidRDefault="009071C6">
      <w:pPr>
        <w:spacing w:after="0"/>
        <w:ind w:left="720"/>
        <w:rPr>
          <w:sz w:val="22"/>
        </w:rPr>
      </w:pPr>
      <w:r>
        <w:rPr>
          <w:sz w:val="22"/>
        </w:rPr>
        <w:t xml:space="preserve">Deputy </w:t>
      </w:r>
      <w:proofErr w:type="spellStart"/>
      <w:r>
        <w:rPr>
          <w:sz w:val="22"/>
        </w:rPr>
        <w:t>UoA</w:t>
      </w:r>
      <w:proofErr w:type="spellEnd"/>
      <w:r>
        <w:rPr>
          <w:sz w:val="22"/>
        </w:rPr>
        <w:t xml:space="preserve"> lead</w:t>
      </w:r>
    </w:p>
    <w:p w14:paraId="75265353" w14:textId="77777777" w:rsidR="00840FBF" w:rsidRDefault="009071C6" w:rsidP="00306D13">
      <w:pPr>
        <w:spacing w:before="120" w:after="0"/>
        <w:rPr>
          <w:sz w:val="22"/>
        </w:rPr>
      </w:pPr>
      <w:r>
        <w:rPr>
          <w:sz w:val="22"/>
        </w:rPr>
        <w:t>Faculty of Humanities and Social Science</w:t>
      </w:r>
    </w:p>
    <w:p w14:paraId="5A577C87" w14:textId="1C1816DB" w:rsidR="00840FBF" w:rsidRDefault="009071C6">
      <w:pPr>
        <w:spacing w:after="0"/>
        <w:ind w:left="720"/>
        <w:rPr>
          <w:sz w:val="22"/>
        </w:rPr>
      </w:pPr>
      <w:r>
        <w:rPr>
          <w:sz w:val="22"/>
        </w:rPr>
        <w:t>Executive Dean</w:t>
      </w:r>
    </w:p>
    <w:p w14:paraId="69513E1A" w14:textId="63319EFB" w:rsidR="00840FBF" w:rsidRDefault="009071C6">
      <w:pPr>
        <w:spacing w:after="0"/>
        <w:ind w:left="720"/>
        <w:rPr>
          <w:sz w:val="22"/>
        </w:rPr>
      </w:pPr>
      <w:r>
        <w:rPr>
          <w:sz w:val="22"/>
        </w:rPr>
        <w:t>Faculty Head of Research, Innovation and Knowledge Exchange</w:t>
      </w:r>
    </w:p>
    <w:p w14:paraId="6CC85D55" w14:textId="77777777" w:rsidR="00840FBF" w:rsidRDefault="009071C6">
      <w:pPr>
        <w:spacing w:after="0"/>
        <w:ind w:left="720" w:firstLine="720"/>
        <w:rPr>
          <w:sz w:val="22"/>
        </w:rPr>
      </w:pPr>
      <w:r>
        <w:rPr>
          <w:sz w:val="22"/>
        </w:rPr>
        <w:t>(Chair)</w:t>
      </w:r>
    </w:p>
    <w:p w14:paraId="11CFAA80" w14:textId="01ACFD35" w:rsidR="00840FBF" w:rsidRDefault="009071C6" w:rsidP="00FB35E9">
      <w:pPr>
        <w:spacing w:after="0"/>
        <w:ind w:left="720"/>
        <w:rPr>
          <w:sz w:val="22"/>
        </w:rPr>
      </w:pPr>
      <w:r>
        <w:rPr>
          <w:sz w:val="22"/>
        </w:rPr>
        <w:t>REF Leads:</w:t>
      </w:r>
    </w:p>
    <w:p w14:paraId="396618AA" w14:textId="647A9957" w:rsidR="00840FBF" w:rsidRDefault="009071C6" w:rsidP="000B5EDE">
      <w:pPr>
        <w:spacing w:after="0"/>
        <w:ind w:left="3600" w:hanging="2880"/>
        <w:rPr>
          <w:sz w:val="22"/>
        </w:rPr>
      </w:pPr>
      <w:r>
        <w:rPr>
          <w:sz w:val="22"/>
        </w:rPr>
        <w:t>Discipline Leads</w:t>
      </w:r>
    </w:p>
    <w:p w14:paraId="2598434E" w14:textId="4E599C90" w:rsidR="00840FBF" w:rsidRDefault="009071C6" w:rsidP="00FB35E9">
      <w:pPr>
        <w:spacing w:after="0"/>
        <w:ind w:left="720"/>
        <w:rPr>
          <w:sz w:val="22"/>
        </w:rPr>
      </w:pPr>
      <w:r>
        <w:rPr>
          <w:sz w:val="22"/>
        </w:rPr>
        <w:t xml:space="preserve">Heads of School (or their </w:t>
      </w:r>
      <w:proofErr w:type="gramStart"/>
      <w:r>
        <w:rPr>
          <w:sz w:val="22"/>
        </w:rPr>
        <w:t>nominee</w:t>
      </w:r>
      <w:proofErr w:type="gramEnd"/>
      <w:r>
        <w:rPr>
          <w:sz w:val="22"/>
        </w:rPr>
        <w:t>)</w:t>
      </w:r>
    </w:p>
    <w:p w14:paraId="5D5AD795" w14:textId="5ED817C1" w:rsidR="00840FBF" w:rsidRDefault="009071C6">
      <w:pPr>
        <w:spacing w:after="0"/>
        <w:ind w:left="720"/>
        <w:rPr>
          <w:sz w:val="22"/>
        </w:rPr>
      </w:pPr>
      <w:r>
        <w:rPr>
          <w:sz w:val="22"/>
        </w:rPr>
        <w:t xml:space="preserve">Deputy </w:t>
      </w:r>
      <w:proofErr w:type="spellStart"/>
      <w:r>
        <w:rPr>
          <w:sz w:val="22"/>
        </w:rPr>
        <w:t>UoA</w:t>
      </w:r>
      <w:proofErr w:type="spellEnd"/>
      <w:r>
        <w:rPr>
          <w:sz w:val="22"/>
        </w:rPr>
        <w:t xml:space="preserve"> lead</w:t>
      </w:r>
    </w:p>
    <w:p w14:paraId="78CBA033" w14:textId="77777777" w:rsidR="00840FBF" w:rsidRDefault="009071C6" w:rsidP="00306D13">
      <w:pPr>
        <w:spacing w:before="120" w:after="0"/>
        <w:rPr>
          <w:sz w:val="22"/>
        </w:rPr>
      </w:pPr>
      <w:r>
        <w:rPr>
          <w:sz w:val="22"/>
        </w:rPr>
        <w:t xml:space="preserve">Faculty of Science </w:t>
      </w:r>
    </w:p>
    <w:p w14:paraId="36CDAF87" w14:textId="7299ED47" w:rsidR="00840FBF" w:rsidRDefault="009071C6">
      <w:pPr>
        <w:spacing w:after="0"/>
        <w:ind w:left="720"/>
        <w:rPr>
          <w:sz w:val="22"/>
        </w:rPr>
      </w:pPr>
      <w:r>
        <w:rPr>
          <w:sz w:val="22"/>
        </w:rPr>
        <w:t>Executive Dean</w:t>
      </w:r>
    </w:p>
    <w:p w14:paraId="0BD39BBF" w14:textId="1630A59F" w:rsidR="00840FBF" w:rsidRDefault="009071C6">
      <w:pPr>
        <w:spacing w:after="0"/>
        <w:ind w:left="720"/>
        <w:rPr>
          <w:sz w:val="22"/>
        </w:rPr>
      </w:pPr>
      <w:r>
        <w:rPr>
          <w:sz w:val="22"/>
        </w:rPr>
        <w:t>Faculty Head of Research, Innovation and Knowledge Exchange</w:t>
      </w:r>
    </w:p>
    <w:p w14:paraId="500AAFB9" w14:textId="77777777" w:rsidR="00840FBF" w:rsidRDefault="009071C6">
      <w:pPr>
        <w:spacing w:after="0"/>
        <w:ind w:left="720" w:firstLine="720"/>
        <w:rPr>
          <w:sz w:val="22"/>
        </w:rPr>
      </w:pPr>
      <w:r>
        <w:rPr>
          <w:sz w:val="22"/>
        </w:rPr>
        <w:t>(Chair)</w:t>
      </w:r>
    </w:p>
    <w:p w14:paraId="6C7E0263" w14:textId="634E7CBB" w:rsidR="00840FBF" w:rsidRDefault="009071C6" w:rsidP="00FB35E9">
      <w:pPr>
        <w:spacing w:after="0"/>
        <w:ind w:left="720"/>
        <w:rPr>
          <w:sz w:val="22"/>
        </w:rPr>
      </w:pPr>
      <w:r>
        <w:rPr>
          <w:sz w:val="22"/>
        </w:rPr>
        <w:t>REF Leads:</w:t>
      </w:r>
    </w:p>
    <w:p w14:paraId="392E744B" w14:textId="55140612" w:rsidR="00840FBF" w:rsidRDefault="009071C6">
      <w:pPr>
        <w:spacing w:after="0"/>
        <w:ind w:left="720"/>
        <w:rPr>
          <w:sz w:val="22"/>
        </w:rPr>
      </w:pPr>
      <w:r>
        <w:rPr>
          <w:sz w:val="22"/>
        </w:rPr>
        <w:t>Discipline Leads</w:t>
      </w:r>
    </w:p>
    <w:p w14:paraId="39989EFD" w14:textId="7C39CF34" w:rsidR="00840FBF" w:rsidRDefault="009071C6" w:rsidP="00FB35E9">
      <w:pPr>
        <w:spacing w:after="0"/>
        <w:ind w:left="720"/>
        <w:rPr>
          <w:sz w:val="22"/>
        </w:rPr>
      </w:pPr>
      <w:r>
        <w:rPr>
          <w:sz w:val="22"/>
        </w:rPr>
        <w:t xml:space="preserve">Heads of School (or their </w:t>
      </w:r>
      <w:proofErr w:type="gramStart"/>
      <w:r>
        <w:rPr>
          <w:sz w:val="22"/>
        </w:rPr>
        <w:t>nominee</w:t>
      </w:r>
      <w:proofErr w:type="gramEnd"/>
      <w:r>
        <w:rPr>
          <w:sz w:val="22"/>
        </w:rPr>
        <w:t>)</w:t>
      </w:r>
    </w:p>
    <w:p w14:paraId="2F1815E5" w14:textId="50CF08F5" w:rsidR="00840FBF" w:rsidRDefault="009071C6">
      <w:pPr>
        <w:spacing w:after="0"/>
        <w:ind w:left="720"/>
      </w:pPr>
      <w:r>
        <w:rPr>
          <w:sz w:val="22"/>
        </w:rPr>
        <w:t xml:space="preserve">Deputy </w:t>
      </w:r>
      <w:proofErr w:type="spellStart"/>
      <w:r>
        <w:rPr>
          <w:sz w:val="22"/>
        </w:rPr>
        <w:t>UoA</w:t>
      </w:r>
      <w:proofErr w:type="spellEnd"/>
      <w:r>
        <w:rPr>
          <w:sz w:val="22"/>
        </w:rPr>
        <w:t xml:space="preserve"> lead</w:t>
      </w:r>
    </w:p>
    <w:p w14:paraId="4A0CBEB1" w14:textId="1AE4EB2A" w:rsidR="00840FBF" w:rsidRDefault="009071C6" w:rsidP="00306D13">
      <w:pPr>
        <w:pStyle w:val="Heading2"/>
        <w:jc w:val="center"/>
      </w:pPr>
      <w:r>
        <w:t xml:space="preserve">Appendix </w:t>
      </w:r>
      <w:r w:rsidR="00EE0545">
        <w:t>2.</w:t>
      </w:r>
      <w:r>
        <w:t>8: Reading Groups</w:t>
      </w:r>
    </w:p>
    <w:p w14:paraId="65FC7799" w14:textId="77777777" w:rsidR="00840FBF" w:rsidRDefault="009071C6">
      <w:pPr>
        <w:rPr>
          <w:b/>
          <w:bCs/>
          <w:sz w:val="22"/>
        </w:rPr>
      </w:pPr>
      <w:proofErr w:type="spellStart"/>
      <w:r>
        <w:rPr>
          <w:b/>
          <w:bCs/>
          <w:sz w:val="22"/>
        </w:rPr>
        <w:t>UoA</w:t>
      </w:r>
      <w:proofErr w:type="spellEnd"/>
      <w:r>
        <w:rPr>
          <w:b/>
          <w:bCs/>
          <w:sz w:val="22"/>
        </w:rPr>
        <w:t xml:space="preserve"> 4</w:t>
      </w:r>
    </w:p>
    <w:p w14:paraId="075BB3AB" w14:textId="77777777" w:rsidR="00840FBF" w:rsidRDefault="009071C6" w:rsidP="002F14A4">
      <w:pPr>
        <w:ind w:left="720"/>
      </w:pPr>
      <w:r>
        <w:rPr>
          <w:b/>
          <w:bCs/>
          <w:sz w:val="22"/>
        </w:rPr>
        <w:t xml:space="preserve">How reading group was selected: </w:t>
      </w:r>
      <w:r>
        <w:rPr>
          <w:sz w:val="22"/>
        </w:rPr>
        <w:t>These are all members of the Department's REF WG, plus Centre Directors.</w:t>
      </w:r>
    </w:p>
    <w:p w14:paraId="2F603311" w14:textId="77777777" w:rsidR="00840FBF" w:rsidRDefault="009071C6">
      <w:proofErr w:type="spellStart"/>
      <w:r>
        <w:rPr>
          <w:b/>
          <w:bCs/>
          <w:sz w:val="22"/>
        </w:rPr>
        <w:t>UoA</w:t>
      </w:r>
      <w:proofErr w:type="spellEnd"/>
      <w:r>
        <w:rPr>
          <w:b/>
          <w:bCs/>
          <w:sz w:val="22"/>
        </w:rPr>
        <w:t xml:space="preserve"> 5 </w:t>
      </w:r>
      <w:r>
        <w:rPr>
          <w:sz w:val="22"/>
        </w:rPr>
        <w:t>– please see UCL Code of Practice</w:t>
      </w:r>
    </w:p>
    <w:p w14:paraId="1893D989" w14:textId="77777777" w:rsidR="00840FBF" w:rsidRDefault="009071C6">
      <w:proofErr w:type="spellStart"/>
      <w:r>
        <w:rPr>
          <w:b/>
          <w:bCs/>
          <w:sz w:val="22"/>
        </w:rPr>
        <w:t>UoA</w:t>
      </w:r>
      <w:proofErr w:type="spellEnd"/>
      <w:r>
        <w:rPr>
          <w:b/>
          <w:bCs/>
          <w:sz w:val="22"/>
        </w:rPr>
        <w:t xml:space="preserve"> 7 </w:t>
      </w:r>
      <w:r>
        <w:rPr>
          <w:sz w:val="22"/>
        </w:rPr>
        <w:t>– please see UCL Code of Practice</w:t>
      </w:r>
    </w:p>
    <w:p w14:paraId="426E0D71" w14:textId="77777777" w:rsidR="00840FBF" w:rsidRDefault="009071C6">
      <w:pPr>
        <w:rPr>
          <w:b/>
          <w:bCs/>
          <w:sz w:val="22"/>
        </w:rPr>
      </w:pPr>
      <w:proofErr w:type="spellStart"/>
      <w:r>
        <w:rPr>
          <w:b/>
          <w:bCs/>
          <w:sz w:val="22"/>
        </w:rPr>
        <w:t>UoA</w:t>
      </w:r>
      <w:proofErr w:type="spellEnd"/>
      <w:r>
        <w:rPr>
          <w:b/>
          <w:bCs/>
          <w:sz w:val="22"/>
        </w:rPr>
        <w:t xml:space="preserve"> 11</w:t>
      </w:r>
    </w:p>
    <w:p w14:paraId="7C9D8EE4" w14:textId="77777777" w:rsidR="00840FBF" w:rsidRDefault="009071C6" w:rsidP="002F14A4">
      <w:pPr>
        <w:ind w:left="720"/>
      </w:pPr>
      <w:r>
        <w:rPr>
          <w:b/>
          <w:bCs/>
          <w:sz w:val="22"/>
        </w:rPr>
        <w:t xml:space="preserve">How reading group was selected: </w:t>
      </w:r>
      <w:r>
        <w:rPr>
          <w:sz w:val="22"/>
        </w:rPr>
        <w:t xml:space="preserve">Our reading group reflects all research areas of the </w:t>
      </w:r>
      <w:proofErr w:type="spellStart"/>
      <w:r>
        <w:rPr>
          <w:sz w:val="22"/>
        </w:rPr>
        <w:t>UoA</w:t>
      </w:r>
      <w:proofErr w:type="spellEnd"/>
      <w:r>
        <w:rPr>
          <w:sz w:val="22"/>
        </w:rPr>
        <w:t xml:space="preserve"> and includes members with diverse characteristics and from different career stages. The group was selected by </w:t>
      </w:r>
      <w:proofErr w:type="spellStart"/>
      <w:r>
        <w:rPr>
          <w:sz w:val="22"/>
        </w:rPr>
        <w:t>HoS</w:t>
      </w:r>
      <w:proofErr w:type="spellEnd"/>
      <w:r>
        <w:rPr>
          <w:sz w:val="22"/>
        </w:rPr>
        <w:t xml:space="preserve"> and REF lead who also consulted other colleagues in the </w:t>
      </w:r>
      <w:proofErr w:type="gramStart"/>
      <w:r>
        <w:rPr>
          <w:sz w:val="22"/>
        </w:rPr>
        <w:t>School</w:t>
      </w:r>
      <w:proofErr w:type="gramEnd"/>
      <w:r>
        <w:rPr>
          <w:sz w:val="22"/>
        </w:rPr>
        <w:t>.</w:t>
      </w:r>
    </w:p>
    <w:p w14:paraId="182595C2" w14:textId="77777777" w:rsidR="00840FBF" w:rsidRDefault="009071C6">
      <w:pPr>
        <w:rPr>
          <w:b/>
          <w:bCs/>
          <w:sz w:val="22"/>
        </w:rPr>
      </w:pPr>
      <w:proofErr w:type="spellStart"/>
      <w:r>
        <w:rPr>
          <w:b/>
          <w:bCs/>
          <w:sz w:val="22"/>
        </w:rPr>
        <w:t>UoA</w:t>
      </w:r>
      <w:proofErr w:type="spellEnd"/>
      <w:r>
        <w:rPr>
          <w:b/>
          <w:bCs/>
          <w:sz w:val="22"/>
        </w:rPr>
        <w:t xml:space="preserve"> 16</w:t>
      </w:r>
    </w:p>
    <w:p w14:paraId="0DC57D4E" w14:textId="518DDDAA" w:rsidR="00840FBF" w:rsidRDefault="009071C6" w:rsidP="002F14A4">
      <w:pPr>
        <w:tabs>
          <w:tab w:val="left" w:pos="3610"/>
        </w:tabs>
        <w:ind w:left="720"/>
      </w:pPr>
      <w:r>
        <w:rPr>
          <w:b/>
          <w:bCs/>
          <w:sz w:val="22"/>
        </w:rPr>
        <w:t xml:space="preserve">How reading group was selected: </w:t>
      </w:r>
      <w:r>
        <w:rPr>
          <w:sz w:val="22"/>
        </w:rPr>
        <w:t>Reading group members are a mix of those who had experience of our previous REF process, representative of clusters, and newer members of staff/early career staff</w:t>
      </w:r>
      <w:r w:rsidR="002F14A4">
        <w:rPr>
          <w:sz w:val="22"/>
        </w:rPr>
        <w:tab/>
      </w:r>
      <w:r>
        <w:rPr>
          <w:sz w:val="22"/>
        </w:rPr>
        <w:t>.</w:t>
      </w:r>
    </w:p>
    <w:p w14:paraId="73374C0A" w14:textId="77777777" w:rsidR="00840FBF" w:rsidRDefault="009071C6">
      <w:proofErr w:type="spellStart"/>
      <w:r>
        <w:rPr>
          <w:b/>
          <w:bCs/>
          <w:sz w:val="22"/>
        </w:rPr>
        <w:t>UoA</w:t>
      </w:r>
      <w:proofErr w:type="spellEnd"/>
      <w:r>
        <w:rPr>
          <w:b/>
          <w:bCs/>
          <w:sz w:val="22"/>
        </w:rPr>
        <w:t xml:space="preserve"> 17: </w:t>
      </w:r>
    </w:p>
    <w:p w14:paraId="13FFB06C" w14:textId="77777777" w:rsidR="00840FBF" w:rsidRDefault="009071C6" w:rsidP="002F14A4">
      <w:pPr>
        <w:ind w:left="720"/>
      </w:pPr>
      <w:r>
        <w:rPr>
          <w:b/>
          <w:bCs/>
          <w:sz w:val="22"/>
        </w:rPr>
        <w:lastRenderedPageBreak/>
        <w:t xml:space="preserve">How reading group was selected: </w:t>
      </w:r>
      <w:r>
        <w:rPr>
          <w:sz w:val="22"/>
        </w:rPr>
        <w:t xml:space="preserve">Colleagues are volunteered or selected from different subject areas to ensure representation across all research themes within the </w:t>
      </w:r>
      <w:proofErr w:type="spellStart"/>
      <w:r>
        <w:rPr>
          <w:sz w:val="22"/>
        </w:rPr>
        <w:t>UoA</w:t>
      </w:r>
      <w:proofErr w:type="spellEnd"/>
      <w:r>
        <w:rPr>
          <w:sz w:val="22"/>
        </w:rPr>
        <w:t>. The group includes both experienced colleagues who have participated in previous REF cycles and newer members of staff. The members are from different career stages.</w:t>
      </w:r>
    </w:p>
    <w:p w14:paraId="531FE405" w14:textId="77777777" w:rsidR="00840FBF" w:rsidRDefault="009071C6">
      <w:pPr>
        <w:rPr>
          <w:b/>
          <w:bCs/>
          <w:sz w:val="22"/>
        </w:rPr>
      </w:pPr>
      <w:proofErr w:type="spellStart"/>
      <w:r>
        <w:rPr>
          <w:b/>
          <w:bCs/>
          <w:sz w:val="22"/>
        </w:rPr>
        <w:t>UoA</w:t>
      </w:r>
      <w:proofErr w:type="spellEnd"/>
      <w:r>
        <w:rPr>
          <w:b/>
          <w:bCs/>
          <w:sz w:val="22"/>
        </w:rPr>
        <w:t xml:space="preserve"> 18</w:t>
      </w:r>
    </w:p>
    <w:p w14:paraId="5DB4E884" w14:textId="77777777" w:rsidR="00840FBF" w:rsidRDefault="009071C6" w:rsidP="002F14A4">
      <w:pPr>
        <w:ind w:left="720"/>
      </w:pPr>
      <w:r>
        <w:rPr>
          <w:b/>
          <w:bCs/>
          <w:sz w:val="22"/>
        </w:rPr>
        <w:t xml:space="preserve">How reading group was selected: </w:t>
      </w:r>
      <w:r>
        <w:rPr>
          <w:sz w:val="22"/>
        </w:rPr>
        <w:t>a mix of those who had experience of our previous REF process and newer members of staff/early career staff. We wanted to continue the previous practice of ensuring research themes and clusters were represented. All decisions were made in the light of college policy on EDI</w:t>
      </w:r>
    </w:p>
    <w:p w14:paraId="07F8E587" w14:textId="77777777" w:rsidR="00840FBF" w:rsidRDefault="009071C6">
      <w:pPr>
        <w:rPr>
          <w:b/>
          <w:bCs/>
          <w:sz w:val="22"/>
        </w:rPr>
      </w:pPr>
      <w:proofErr w:type="spellStart"/>
      <w:r>
        <w:rPr>
          <w:b/>
          <w:bCs/>
          <w:sz w:val="22"/>
        </w:rPr>
        <w:t>UoA</w:t>
      </w:r>
      <w:proofErr w:type="spellEnd"/>
      <w:r>
        <w:rPr>
          <w:b/>
          <w:bCs/>
          <w:sz w:val="22"/>
        </w:rPr>
        <w:t xml:space="preserve"> 19</w:t>
      </w:r>
    </w:p>
    <w:p w14:paraId="3569EE14" w14:textId="77777777" w:rsidR="00840FBF" w:rsidRDefault="009071C6" w:rsidP="002F14A4">
      <w:pPr>
        <w:ind w:left="720"/>
      </w:pPr>
      <w:r>
        <w:rPr>
          <w:b/>
          <w:bCs/>
          <w:sz w:val="22"/>
        </w:rPr>
        <w:t xml:space="preserve">How reading group was selected: </w:t>
      </w:r>
      <w:r>
        <w:rPr>
          <w:sz w:val="22"/>
        </w:rPr>
        <w:t>All readers and professors are expected to contribute.</w:t>
      </w:r>
    </w:p>
    <w:p w14:paraId="7CFC7DBE" w14:textId="77777777" w:rsidR="00840FBF" w:rsidRDefault="009071C6">
      <w:pPr>
        <w:rPr>
          <w:b/>
          <w:bCs/>
          <w:sz w:val="22"/>
        </w:rPr>
      </w:pPr>
      <w:proofErr w:type="spellStart"/>
      <w:r>
        <w:rPr>
          <w:b/>
          <w:bCs/>
          <w:sz w:val="22"/>
        </w:rPr>
        <w:t>UoA</w:t>
      </w:r>
      <w:proofErr w:type="spellEnd"/>
      <w:r>
        <w:rPr>
          <w:b/>
          <w:bCs/>
          <w:sz w:val="22"/>
        </w:rPr>
        <w:t xml:space="preserve"> 21</w:t>
      </w:r>
    </w:p>
    <w:p w14:paraId="6C42383B" w14:textId="77777777" w:rsidR="00840FBF" w:rsidRDefault="009071C6" w:rsidP="002F14A4">
      <w:pPr>
        <w:ind w:left="720"/>
      </w:pPr>
      <w:r>
        <w:rPr>
          <w:b/>
          <w:bCs/>
          <w:sz w:val="22"/>
        </w:rPr>
        <w:t xml:space="preserve">How reading group was selected: </w:t>
      </w:r>
      <w:r>
        <w:rPr>
          <w:sz w:val="22"/>
        </w:rPr>
        <w:t>All readers and professors are expected to contribute.</w:t>
      </w:r>
    </w:p>
    <w:p w14:paraId="5B03D595" w14:textId="77777777" w:rsidR="00840FBF" w:rsidRDefault="009071C6">
      <w:pPr>
        <w:rPr>
          <w:b/>
          <w:bCs/>
          <w:sz w:val="22"/>
        </w:rPr>
      </w:pPr>
      <w:proofErr w:type="spellStart"/>
      <w:r>
        <w:rPr>
          <w:b/>
          <w:bCs/>
          <w:sz w:val="22"/>
        </w:rPr>
        <w:t>UoA</w:t>
      </w:r>
      <w:proofErr w:type="spellEnd"/>
      <w:r>
        <w:rPr>
          <w:b/>
          <w:bCs/>
          <w:sz w:val="22"/>
        </w:rPr>
        <w:t xml:space="preserve"> 27</w:t>
      </w:r>
    </w:p>
    <w:p w14:paraId="022348E6" w14:textId="7EF24624" w:rsidR="00840FBF" w:rsidRDefault="009071C6" w:rsidP="002F14A4">
      <w:pPr>
        <w:ind w:left="720"/>
        <w:rPr>
          <w:sz w:val="22"/>
        </w:rPr>
      </w:pPr>
      <w:r>
        <w:rPr>
          <w:b/>
          <w:bCs/>
          <w:sz w:val="22"/>
        </w:rPr>
        <w:t>How reading group was selected:</w:t>
      </w:r>
      <w:r w:rsidR="00FB35E9">
        <w:rPr>
          <w:b/>
          <w:bCs/>
          <w:sz w:val="22"/>
        </w:rPr>
        <w:t xml:space="preserve"> </w:t>
      </w:r>
      <w:r>
        <w:rPr>
          <w:sz w:val="22"/>
        </w:rPr>
        <w:t xml:space="preserve">A discussion among discipline leads, REF lead and Head of Department decided to maintain continuity of members from last round, where these were still in place, supplemented by new members who </w:t>
      </w:r>
      <w:proofErr w:type="gramStart"/>
      <w:r>
        <w:rPr>
          <w:sz w:val="22"/>
        </w:rPr>
        <w:t>bring</w:t>
      </w:r>
      <w:proofErr w:type="gramEnd"/>
      <w:r>
        <w:rPr>
          <w:sz w:val="22"/>
        </w:rPr>
        <w:t xml:space="preserve"> </w:t>
      </w:r>
      <w:proofErr w:type="gramStart"/>
      <w:r>
        <w:rPr>
          <w:sz w:val="22"/>
        </w:rPr>
        <w:t>particular subject</w:t>
      </w:r>
      <w:proofErr w:type="gramEnd"/>
      <w:r>
        <w:rPr>
          <w:sz w:val="22"/>
        </w:rPr>
        <w:t xml:space="preserve"> or language expertise. The group is larger this time, as the unit includes more subdisciplines, but we have co-opted members who were in the relevant unit of assessment previously. Efforts have been made to cover different literary periods as well as the various sub disciplines – theatre and performance, creative writing, languages, linguistics, practice-based work. Most are senior colleagues, with an emphasis on professors. All have strong research profiles and extensive involvement in their academic communities. </w:t>
      </w:r>
    </w:p>
    <w:p w14:paraId="5B28601F" w14:textId="77777777" w:rsidR="00840FBF" w:rsidRDefault="009071C6">
      <w:pPr>
        <w:rPr>
          <w:b/>
          <w:bCs/>
          <w:sz w:val="22"/>
        </w:rPr>
      </w:pPr>
      <w:proofErr w:type="spellStart"/>
      <w:r>
        <w:rPr>
          <w:b/>
          <w:bCs/>
          <w:sz w:val="22"/>
        </w:rPr>
        <w:t>UoA</w:t>
      </w:r>
      <w:proofErr w:type="spellEnd"/>
      <w:r>
        <w:rPr>
          <w:b/>
          <w:bCs/>
          <w:sz w:val="22"/>
        </w:rPr>
        <w:t xml:space="preserve"> 28</w:t>
      </w:r>
    </w:p>
    <w:p w14:paraId="0EECAB2D" w14:textId="77777777" w:rsidR="00840FBF" w:rsidRDefault="009071C6" w:rsidP="002F14A4">
      <w:pPr>
        <w:ind w:left="720"/>
      </w:pPr>
      <w:r>
        <w:rPr>
          <w:b/>
          <w:bCs/>
          <w:sz w:val="22"/>
        </w:rPr>
        <w:t xml:space="preserve">How reading group was selected: </w:t>
      </w:r>
      <w:r>
        <w:rPr>
          <w:sz w:val="22"/>
        </w:rPr>
        <w:t>Representing the spread of disciplinary areas.</w:t>
      </w:r>
    </w:p>
    <w:p w14:paraId="54F2CBDE" w14:textId="7DCCD0D0" w:rsidR="00840FBF" w:rsidRPr="00FB35E9" w:rsidRDefault="009071C6" w:rsidP="00FB35E9">
      <w:pPr>
        <w:ind w:left="-567" w:firstLine="567"/>
        <w:rPr>
          <w:b/>
          <w:bCs/>
          <w:sz w:val="22"/>
        </w:rPr>
      </w:pPr>
      <w:proofErr w:type="spellStart"/>
      <w:r>
        <w:rPr>
          <w:b/>
          <w:bCs/>
          <w:sz w:val="22"/>
        </w:rPr>
        <w:t>UoA</w:t>
      </w:r>
      <w:proofErr w:type="spellEnd"/>
      <w:r>
        <w:rPr>
          <w:b/>
          <w:bCs/>
          <w:sz w:val="22"/>
        </w:rPr>
        <w:t xml:space="preserve"> 32</w:t>
      </w:r>
    </w:p>
    <w:p w14:paraId="0D89FA89" w14:textId="77777777" w:rsidR="005D6885" w:rsidRDefault="009071C6" w:rsidP="00FB35E9">
      <w:pPr>
        <w:ind w:left="720"/>
        <w:rPr>
          <w:sz w:val="22"/>
        </w:rPr>
        <w:sectPr w:rsidR="005D6885" w:rsidSect="005D6885">
          <w:headerReference w:type="default" r:id="rId25"/>
          <w:footerReference w:type="default" r:id="rId26"/>
          <w:type w:val="continuous"/>
          <w:pgSz w:w="12240" w:h="15840"/>
          <w:pgMar w:top="1134" w:right="1134" w:bottom="1134" w:left="1134" w:header="720" w:footer="720" w:gutter="0"/>
          <w:cols w:space="720"/>
        </w:sectPr>
      </w:pPr>
      <w:r>
        <w:rPr>
          <w:b/>
          <w:bCs/>
          <w:sz w:val="22"/>
        </w:rPr>
        <w:t xml:space="preserve">How reading group was selected: </w:t>
      </w:r>
      <w:r>
        <w:rPr>
          <w:sz w:val="22"/>
        </w:rPr>
        <w:t>Senior staff and others representing the research areas of the unit</w:t>
      </w:r>
    </w:p>
    <w:p w14:paraId="50DD59C7" w14:textId="2CEC9692" w:rsidR="00840FBF" w:rsidRDefault="009071C6" w:rsidP="005D6885">
      <w:pPr>
        <w:pStyle w:val="Heading2"/>
        <w:spacing w:after="120"/>
        <w:jc w:val="center"/>
      </w:pPr>
      <w:r>
        <w:lastRenderedPageBreak/>
        <w:t xml:space="preserve">Appendix </w:t>
      </w:r>
      <w:r w:rsidR="002F14A4">
        <w:t>2.</w:t>
      </w:r>
      <w:r>
        <w:t>9: Initial Timetable</w:t>
      </w:r>
    </w:p>
    <w:tbl>
      <w:tblPr>
        <w:tblW w:w="10201" w:type="dxa"/>
        <w:jc w:val="center"/>
        <w:tblCellMar>
          <w:left w:w="10" w:type="dxa"/>
          <w:right w:w="10" w:type="dxa"/>
        </w:tblCellMar>
        <w:tblLook w:val="04A0" w:firstRow="1" w:lastRow="0" w:firstColumn="1" w:lastColumn="0" w:noHBand="0" w:noVBand="1"/>
        <w:tblDescription w:val="A table outlines Birkbeck’s Research Excellence Framework 2029 Code of Practice, covering robustness, transparency, inclusivity, staff eligibility, output selection, communication, consultation, appeals, responsibilities, and governance."/>
      </w:tblPr>
      <w:tblGrid>
        <w:gridCol w:w="2263"/>
        <w:gridCol w:w="7938"/>
      </w:tblGrid>
      <w:tr w:rsidR="009071C6" w14:paraId="2064B9E3" w14:textId="77777777" w:rsidTr="005175CC">
        <w:trPr>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D801A" w14:textId="77777777" w:rsidR="009071C6" w:rsidRDefault="009071C6" w:rsidP="00566F0E">
            <w:pPr>
              <w:pStyle w:val="TableHead"/>
            </w:pPr>
            <w:r>
              <w:t>September 2024</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8334C" w14:textId="77777777" w:rsidR="009071C6" w:rsidRDefault="009071C6" w:rsidP="00566F0E">
            <w:pPr>
              <w:pStyle w:val="TableHead"/>
            </w:pPr>
            <w:r>
              <w:t>First College-level review of possible impact case studies</w:t>
            </w:r>
          </w:p>
        </w:tc>
      </w:tr>
      <w:tr w:rsidR="009071C6" w:rsidRPr="00566F0E" w14:paraId="2F5FBD42" w14:textId="77777777" w:rsidTr="005175CC">
        <w:trPr>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BF3AF" w14:textId="77777777" w:rsidR="009071C6" w:rsidRPr="00566F0E" w:rsidRDefault="009071C6" w:rsidP="00566F0E">
            <w:pPr>
              <w:pStyle w:val="TableBody"/>
            </w:pPr>
            <w:r w:rsidRPr="00566F0E">
              <w:t>Autumn/Winter 2024/25</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05F95" w14:textId="77777777" w:rsidR="009071C6" w:rsidRPr="00566F0E" w:rsidRDefault="009071C6" w:rsidP="00566F0E">
            <w:pPr>
              <w:pStyle w:val="TableBody"/>
            </w:pPr>
            <w:r w:rsidRPr="00566F0E">
              <w:t>OA policy published, Volume Measure information published</w:t>
            </w:r>
          </w:p>
        </w:tc>
      </w:tr>
      <w:tr w:rsidR="009071C6" w14:paraId="1E98D1B3" w14:textId="77777777" w:rsidTr="005175CC">
        <w:trPr>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C568F" w14:textId="77777777" w:rsidR="009071C6" w:rsidRPr="00566F0E" w:rsidRDefault="009071C6" w:rsidP="00566F0E">
            <w:pPr>
              <w:pStyle w:val="TableBody"/>
              <w:rPr>
                <w:b w:val="0"/>
                <w:bCs w:val="0"/>
              </w:rPr>
            </w:pPr>
            <w:r w:rsidRPr="00566F0E">
              <w:rPr>
                <w:b w:val="0"/>
                <w:bCs w:val="0"/>
              </w:rPr>
              <w:t>September 2024</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16DAA" w14:textId="77777777" w:rsidR="009071C6" w:rsidRPr="00566F0E" w:rsidRDefault="009071C6" w:rsidP="00566F0E">
            <w:pPr>
              <w:pStyle w:val="TableBody"/>
              <w:rPr>
                <w:b w:val="0"/>
                <w:bCs w:val="0"/>
              </w:rPr>
            </w:pPr>
            <w:r w:rsidRPr="00566F0E">
              <w:rPr>
                <w:b w:val="0"/>
                <w:bCs w:val="0"/>
              </w:rPr>
              <w:t>Second College-level review of possible impact case studies</w:t>
            </w:r>
          </w:p>
        </w:tc>
      </w:tr>
      <w:tr w:rsidR="009071C6" w14:paraId="7617E9CB" w14:textId="77777777" w:rsidTr="005175CC">
        <w:trPr>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189AE" w14:textId="77777777" w:rsidR="009071C6" w:rsidRPr="00566F0E" w:rsidRDefault="009071C6" w:rsidP="00566F0E">
            <w:pPr>
              <w:pStyle w:val="TableBody"/>
            </w:pPr>
            <w:r w:rsidRPr="00566F0E">
              <w:t>1</w:t>
            </w:r>
            <w:r w:rsidRPr="00566F0E">
              <w:rPr>
                <w:vertAlign w:val="superscript"/>
              </w:rPr>
              <w:t>st</w:t>
            </w:r>
            <w:r w:rsidRPr="00566F0E">
              <w:t xml:space="preserve"> August 2025</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BC742" w14:textId="77777777" w:rsidR="009071C6" w:rsidRPr="00566F0E" w:rsidRDefault="009071C6" w:rsidP="00566F0E">
            <w:pPr>
              <w:pStyle w:val="TableBody"/>
            </w:pPr>
            <w:r w:rsidRPr="00566F0E">
              <w:t>HESA volume measure data collection starts</w:t>
            </w:r>
          </w:p>
        </w:tc>
      </w:tr>
      <w:tr w:rsidR="009071C6" w14:paraId="18034D91" w14:textId="77777777" w:rsidTr="005175CC">
        <w:trPr>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10124" w14:textId="77777777" w:rsidR="009071C6" w:rsidRPr="00566F0E" w:rsidRDefault="009071C6" w:rsidP="00566F0E">
            <w:pPr>
              <w:pStyle w:val="TableBody"/>
              <w:rPr>
                <w:b w:val="0"/>
                <w:bCs w:val="0"/>
              </w:rPr>
            </w:pPr>
            <w:r w:rsidRPr="00566F0E">
              <w:rPr>
                <w:b w:val="0"/>
                <w:bCs w:val="0"/>
              </w:rPr>
              <w:t>September-December 2025</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5873D" w14:textId="77777777" w:rsidR="009071C6" w:rsidRPr="00566F0E" w:rsidRDefault="009071C6" w:rsidP="00566F0E">
            <w:pPr>
              <w:pStyle w:val="TableBody"/>
              <w:rPr>
                <w:b w:val="0"/>
                <w:bCs w:val="0"/>
              </w:rPr>
            </w:pPr>
            <w:r w:rsidRPr="00566F0E">
              <w:rPr>
                <w:b w:val="0"/>
                <w:bCs w:val="0"/>
              </w:rPr>
              <w:t xml:space="preserve">Impact officers and </w:t>
            </w:r>
            <w:proofErr w:type="spellStart"/>
            <w:r w:rsidRPr="00566F0E">
              <w:rPr>
                <w:b w:val="0"/>
                <w:bCs w:val="0"/>
              </w:rPr>
              <w:t>UoA</w:t>
            </w:r>
            <w:proofErr w:type="spellEnd"/>
            <w:r w:rsidRPr="00566F0E">
              <w:rPr>
                <w:b w:val="0"/>
                <w:bCs w:val="0"/>
              </w:rPr>
              <w:t xml:space="preserve"> leads to </w:t>
            </w:r>
            <w:proofErr w:type="spellStart"/>
            <w:r w:rsidRPr="00566F0E">
              <w:rPr>
                <w:b w:val="0"/>
                <w:bCs w:val="0"/>
              </w:rPr>
              <w:t>finalise</w:t>
            </w:r>
            <w:proofErr w:type="spellEnd"/>
            <w:r w:rsidRPr="00566F0E">
              <w:rPr>
                <w:b w:val="0"/>
                <w:bCs w:val="0"/>
              </w:rPr>
              <w:t xml:space="preserve"> current long list of case studies + 1 spare in each </w:t>
            </w:r>
            <w:proofErr w:type="spellStart"/>
            <w:r w:rsidRPr="00566F0E">
              <w:rPr>
                <w:b w:val="0"/>
                <w:bCs w:val="0"/>
              </w:rPr>
              <w:t>UoA</w:t>
            </w:r>
            <w:proofErr w:type="spellEnd"/>
          </w:p>
          <w:p w14:paraId="2661FBBD" w14:textId="77777777" w:rsidR="009071C6" w:rsidRPr="00566F0E" w:rsidRDefault="009071C6" w:rsidP="00566F0E">
            <w:pPr>
              <w:pStyle w:val="TableBody"/>
              <w:rPr>
                <w:b w:val="0"/>
                <w:bCs w:val="0"/>
              </w:rPr>
            </w:pPr>
            <w:r w:rsidRPr="00566F0E">
              <w:rPr>
                <w:b w:val="0"/>
                <w:bCs w:val="0"/>
              </w:rPr>
              <w:t>REF WP &amp; College to endorse initial selection of impact case studies</w:t>
            </w:r>
          </w:p>
        </w:tc>
      </w:tr>
      <w:tr w:rsidR="009071C6" w14:paraId="72C7BF62" w14:textId="77777777" w:rsidTr="005175CC">
        <w:trPr>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3673A" w14:textId="77777777" w:rsidR="009071C6" w:rsidRPr="00566F0E" w:rsidRDefault="009071C6" w:rsidP="00566F0E">
            <w:pPr>
              <w:pStyle w:val="TableBody"/>
              <w:rPr>
                <w:b w:val="0"/>
                <w:bCs w:val="0"/>
              </w:rPr>
            </w:pPr>
            <w:r w:rsidRPr="00566F0E">
              <w:rPr>
                <w:b w:val="0"/>
                <w:bCs w:val="0"/>
              </w:rPr>
              <w:t>January 2026</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BF4B6" w14:textId="77777777" w:rsidR="009071C6" w:rsidRPr="00566F0E" w:rsidRDefault="009071C6" w:rsidP="00566F0E">
            <w:pPr>
              <w:pStyle w:val="TableBody"/>
              <w:rPr>
                <w:b w:val="0"/>
                <w:bCs w:val="0"/>
              </w:rPr>
            </w:pPr>
            <w:r w:rsidRPr="00566F0E">
              <w:rPr>
                <w:b w:val="0"/>
                <w:bCs w:val="0"/>
              </w:rPr>
              <w:t>Leads to provide list of staff with currently 0 outputs to DVC (R&amp;I) plus copies of any agreed plans to address this with individuals</w:t>
            </w:r>
          </w:p>
        </w:tc>
      </w:tr>
      <w:tr w:rsidR="009071C6" w14:paraId="6AEF139F" w14:textId="77777777" w:rsidTr="005175CC">
        <w:trPr>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60790" w14:textId="77777777" w:rsidR="009071C6" w:rsidRPr="00566F0E" w:rsidRDefault="009071C6" w:rsidP="00566F0E">
            <w:pPr>
              <w:pStyle w:val="TableBody"/>
              <w:rPr>
                <w:b w:val="0"/>
                <w:bCs w:val="0"/>
              </w:rPr>
            </w:pPr>
            <w:r w:rsidRPr="00566F0E">
              <w:rPr>
                <w:b w:val="0"/>
                <w:bCs w:val="0"/>
              </w:rPr>
              <w:t>January 2026 – May 2026</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D0DFC" w14:textId="77777777" w:rsidR="009071C6" w:rsidRPr="00566F0E" w:rsidRDefault="009071C6" w:rsidP="00566F0E">
            <w:pPr>
              <w:pStyle w:val="TableBody"/>
              <w:rPr>
                <w:b w:val="0"/>
                <w:bCs w:val="0"/>
              </w:rPr>
            </w:pPr>
            <w:r w:rsidRPr="00566F0E">
              <w:rPr>
                <w:b w:val="0"/>
                <w:bCs w:val="0"/>
              </w:rPr>
              <w:t>College-level/academic leads impact case study drafting workshops</w:t>
            </w:r>
          </w:p>
          <w:p w14:paraId="5AEE3AF6" w14:textId="77777777" w:rsidR="009071C6" w:rsidRPr="00566F0E" w:rsidRDefault="009071C6" w:rsidP="00566F0E">
            <w:pPr>
              <w:pStyle w:val="TableBody"/>
              <w:rPr>
                <w:b w:val="0"/>
                <w:bCs w:val="0"/>
              </w:rPr>
            </w:pPr>
            <w:r w:rsidRPr="00566F0E">
              <w:rPr>
                <w:b w:val="0"/>
                <w:bCs w:val="0"/>
              </w:rPr>
              <w:t xml:space="preserve">College-level discussions: managing environment in Schools with more than one </w:t>
            </w:r>
            <w:proofErr w:type="spellStart"/>
            <w:r w:rsidRPr="00566F0E">
              <w:rPr>
                <w:b w:val="0"/>
                <w:bCs w:val="0"/>
              </w:rPr>
              <w:t>UoA</w:t>
            </w:r>
            <w:proofErr w:type="spellEnd"/>
          </w:p>
          <w:p w14:paraId="0058D4F9" w14:textId="77777777" w:rsidR="009071C6" w:rsidRPr="00566F0E" w:rsidRDefault="009071C6" w:rsidP="00566F0E">
            <w:pPr>
              <w:pStyle w:val="TableBody"/>
              <w:rPr>
                <w:b w:val="0"/>
                <w:bCs w:val="0"/>
              </w:rPr>
            </w:pPr>
            <w:r w:rsidRPr="00566F0E">
              <w:rPr>
                <w:b w:val="0"/>
                <w:bCs w:val="0"/>
              </w:rPr>
              <w:t xml:space="preserve">Whole census (to date) staff lists to be produced </w:t>
            </w:r>
          </w:p>
        </w:tc>
      </w:tr>
      <w:tr w:rsidR="009071C6" w14:paraId="7FBF277D" w14:textId="77777777" w:rsidTr="005175CC">
        <w:trPr>
          <w:trHeight w:val="50"/>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09952" w14:textId="77777777" w:rsidR="009071C6" w:rsidRPr="00566F0E" w:rsidRDefault="009071C6" w:rsidP="00566F0E">
            <w:pPr>
              <w:pStyle w:val="TableBody"/>
              <w:rPr>
                <w:color w:val="000000" w:themeColor="text1"/>
              </w:rPr>
            </w:pPr>
            <w:r w:rsidRPr="00566F0E">
              <w:rPr>
                <w:color w:val="000000" w:themeColor="text1"/>
              </w:rPr>
              <w:t>Spring/Summer 2026</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6CFDC" w14:textId="77777777" w:rsidR="009071C6" w:rsidRPr="00566F0E" w:rsidRDefault="009071C6" w:rsidP="00566F0E">
            <w:pPr>
              <w:pStyle w:val="TableBody"/>
            </w:pPr>
            <w:r w:rsidRPr="00566F0E">
              <w:t xml:space="preserve">Draft Guidance on Submission </w:t>
            </w:r>
            <w:proofErr w:type="gramStart"/>
            <w:r w:rsidRPr="00566F0E">
              <w:t>published</w:t>
            </w:r>
            <w:proofErr w:type="gramEnd"/>
          </w:p>
          <w:p w14:paraId="6DB0E224" w14:textId="77777777" w:rsidR="009071C6" w:rsidRPr="00566F0E" w:rsidRDefault="009071C6" w:rsidP="00566F0E">
            <w:pPr>
              <w:pStyle w:val="TableBody"/>
              <w:rPr>
                <w:b w:val="0"/>
                <w:bCs w:val="0"/>
              </w:rPr>
            </w:pPr>
            <w:r w:rsidRPr="00566F0E">
              <w:rPr>
                <w:b w:val="0"/>
                <w:bCs w:val="0"/>
              </w:rPr>
              <w:t xml:space="preserve">Whole census staff list (to date) provided to REF leads including eligible employment relationship check </w:t>
            </w:r>
          </w:p>
          <w:p w14:paraId="35E07A43" w14:textId="77777777" w:rsidR="009071C6" w:rsidRPr="00566F0E" w:rsidRDefault="009071C6" w:rsidP="00566F0E">
            <w:pPr>
              <w:pStyle w:val="TableBody"/>
              <w:rPr>
                <w:b w:val="0"/>
                <w:bCs w:val="0"/>
              </w:rPr>
            </w:pPr>
            <w:r w:rsidRPr="00566F0E">
              <w:rPr>
                <w:b w:val="0"/>
                <w:bCs w:val="0"/>
              </w:rPr>
              <w:t>1</w:t>
            </w:r>
            <w:r w:rsidRPr="00566F0E">
              <w:rPr>
                <w:b w:val="0"/>
                <w:bCs w:val="0"/>
                <w:vertAlign w:val="superscript"/>
              </w:rPr>
              <w:t>st</w:t>
            </w:r>
            <w:r w:rsidRPr="00566F0E">
              <w:rPr>
                <w:b w:val="0"/>
                <w:bCs w:val="0"/>
              </w:rPr>
              <w:t xml:space="preserve"> exercise to determine researcher independence across the census period</w:t>
            </w:r>
          </w:p>
        </w:tc>
      </w:tr>
      <w:tr w:rsidR="009071C6" w14:paraId="00BF9280" w14:textId="77777777" w:rsidTr="005175CC">
        <w:trPr>
          <w:trHeight w:val="50"/>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AEDBB" w14:textId="77777777" w:rsidR="009071C6" w:rsidRPr="00566F0E" w:rsidRDefault="009071C6" w:rsidP="00566F0E">
            <w:pPr>
              <w:pStyle w:val="TableBody"/>
              <w:rPr>
                <w:color w:val="000000" w:themeColor="text1"/>
              </w:rPr>
            </w:pPr>
            <w:r w:rsidRPr="00566F0E">
              <w:rPr>
                <w:color w:val="000000" w:themeColor="text1"/>
              </w:rPr>
              <w:t>11 May 2026</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EFA92" w14:textId="77777777" w:rsidR="009071C6" w:rsidRPr="00566F0E" w:rsidRDefault="009071C6" w:rsidP="00566F0E">
            <w:pPr>
              <w:pStyle w:val="TableBody"/>
              <w:rPr>
                <w:color w:val="000000" w:themeColor="text1"/>
              </w:rPr>
            </w:pPr>
            <w:r w:rsidRPr="00566F0E">
              <w:rPr>
                <w:color w:val="000000" w:themeColor="text1"/>
              </w:rPr>
              <w:t>Code of Practice Submission Date</w:t>
            </w:r>
          </w:p>
        </w:tc>
      </w:tr>
      <w:tr w:rsidR="009071C6" w14:paraId="73588B8D" w14:textId="77777777" w:rsidTr="005175CC">
        <w:trPr>
          <w:trHeight w:val="50"/>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63FBB6" w14:textId="77777777" w:rsidR="009071C6" w:rsidRPr="00566F0E" w:rsidRDefault="009071C6" w:rsidP="00566F0E">
            <w:pPr>
              <w:pStyle w:val="TableBody"/>
              <w:rPr>
                <w:b w:val="0"/>
                <w:bCs w:val="0"/>
              </w:rPr>
            </w:pPr>
            <w:r w:rsidRPr="00566F0E">
              <w:rPr>
                <w:b w:val="0"/>
                <w:bCs w:val="0"/>
              </w:rPr>
              <w:t>May 2026</w:t>
            </w:r>
          </w:p>
          <w:p w14:paraId="26BC4C56" w14:textId="77777777" w:rsidR="009071C6" w:rsidRPr="00566F0E" w:rsidRDefault="009071C6" w:rsidP="00566F0E">
            <w:pPr>
              <w:pStyle w:val="TableBody"/>
              <w:rPr>
                <w:b w:val="0"/>
                <w:bCs w:val="0"/>
              </w:rPr>
            </w:pPr>
            <w:r w:rsidRPr="00566F0E">
              <w:rPr>
                <w:b w:val="0"/>
                <w:bCs w:val="0"/>
              </w:rPr>
              <w:t>May / June 2026</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C94EAB" w14:textId="77777777" w:rsidR="009071C6" w:rsidRPr="00566F0E" w:rsidRDefault="009071C6" w:rsidP="00566F0E">
            <w:pPr>
              <w:pStyle w:val="TableBody"/>
              <w:rPr>
                <w:b w:val="0"/>
                <w:bCs w:val="0"/>
              </w:rPr>
            </w:pPr>
            <w:r w:rsidRPr="00566F0E">
              <w:rPr>
                <w:b w:val="0"/>
                <w:bCs w:val="0"/>
              </w:rPr>
              <w:t>Training for reading groups developed</w:t>
            </w:r>
          </w:p>
          <w:p w14:paraId="65DBBE46" w14:textId="77777777" w:rsidR="009071C6" w:rsidRPr="00566F0E" w:rsidRDefault="009071C6" w:rsidP="00566F0E">
            <w:pPr>
              <w:pStyle w:val="TableBody"/>
              <w:rPr>
                <w:b w:val="0"/>
                <w:bCs w:val="0"/>
              </w:rPr>
            </w:pPr>
            <w:r w:rsidRPr="00566F0E">
              <w:rPr>
                <w:b w:val="0"/>
                <w:bCs w:val="0"/>
              </w:rPr>
              <w:t>Training for reading groups: EDI and Calibration</w:t>
            </w:r>
          </w:p>
          <w:p w14:paraId="3A1F8090" w14:textId="77777777" w:rsidR="009071C6" w:rsidRPr="00566F0E" w:rsidRDefault="009071C6" w:rsidP="00566F0E">
            <w:pPr>
              <w:pStyle w:val="TableBody"/>
              <w:rPr>
                <w:b w:val="0"/>
                <w:bCs w:val="0"/>
              </w:rPr>
            </w:pPr>
            <w:r w:rsidRPr="00566F0E">
              <w:rPr>
                <w:b w:val="0"/>
                <w:bCs w:val="0"/>
              </w:rPr>
              <w:t xml:space="preserve">Training also delivered to </w:t>
            </w:r>
            <w:proofErr w:type="spellStart"/>
            <w:r w:rsidRPr="00566F0E">
              <w:rPr>
                <w:b w:val="0"/>
                <w:bCs w:val="0"/>
              </w:rPr>
              <w:t>UoA</w:t>
            </w:r>
            <w:proofErr w:type="spellEnd"/>
            <w:r w:rsidRPr="00566F0E">
              <w:rPr>
                <w:b w:val="0"/>
                <w:bCs w:val="0"/>
              </w:rPr>
              <w:t xml:space="preserve"> panels, REF Working Group, Research Strategy Group, Equality Diversity and Inclusion Panel, and the VC.</w:t>
            </w:r>
          </w:p>
          <w:p w14:paraId="6593D4D3" w14:textId="77777777" w:rsidR="009071C6" w:rsidRPr="00566F0E" w:rsidRDefault="009071C6" w:rsidP="00566F0E">
            <w:pPr>
              <w:pStyle w:val="TableBody"/>
              <w:rPr>
                <w:b w:val="0"/>
                <w:bCs w:val="0"/>
              </w:rPr>
            </w:pPr>
            <w:r w:rsidRPr="00566F0E">
              <w:rPr>
                <w:b w:val="0"/>
                <w:bCs w:val="0"/>
              </w:rPr>
              <w:t>Training pack made available to members of Academic Board and College Research Committee</w:t>
            </w:r>
          </w:p>
        </w:tc>
      </w:tr>
      <w:tr w:rsidR="009071C6" w14:paraId="18EE960E" w14:textId="77777777" w:rsidTr="005175CC">
        <w:trPr>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EE8574" w14:textId="77777777" w:rsidR="009071C6" w:rsidRPr="00566F0E" w:rsidRDefault="009071C6" w:rsidP="00566F0E">
            <w:pPr>
              <w:pStyle w:val="TableBody"/>
              <w:rPr>
                <w:b w:val="0"/>
                <w:bCs w:val="0"/>
              </w:rPr>
            </w:pPr>
            <w:r w:rsidRPr="00566F0E">
              <w:rPr>
                <w:b w:val="0"/>
                <w:bCs w:val="0"/>
              </w:rPr>
              <w:t>From June 2026</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275E7" w14:textId="77777777" w:rsidR="009071C6" w:rsidRPr="00566F0E" w:rsidRDefault="009071C6" w:rsidP="00566F0E">
            <w:pPr>
              <w:pStyle w:val="TableBody"/>
              <w:rPr>
                <w:b w:val="0"/>
                <w:bCs w:val="0"/>
              </w:rPr>
            </w:pPr>
            <w:r w:rsidRPr="00566F0E">
              <w:rPr>
                <w:b w:val="0"/>
                <w:bCs w:val="0"/>
              </w:rPr>
              <w:t>Reading of outputs begins, use of external readers as required, need to rank outputs at the 2*/3* border most carefully</w:t>
            </w:r>
          </w:p>
          <w:p w14:paraId="52F1F2B0" w14:textId="77777777" w:rsidR="009071C6" w:rsidRPr="00566F0E" w:rsidRDefault="009071C6" w:rsidP="00566F0E">
            <w:pPr>
              <w:pStyle w:val="TableBody"/>
              <w:rPr>
                <w:b w:val="0"/>
                <w:bCs w:val="0"/>
              </w:rPr>
            </w:pPr>
            <w:r w:rsidRPr="00566F0E">
              <w:rPr>
                <w:b w:val="0"/>
                <w:bCs w:val="0"/>
              </w:rPr>
              <w:t>Expectation most staff will have 3 outputs – output and disciplinary distribution is part of the environment assessment</w:t>
            </w:r>
          </w:p>
          <w:p w14:paraId="26F826A0" w14:textId="77777777" w:rsidR="009071C6" w:rsidRPr="00566F0E" w:rsidRDefault="009071C6" w:rsidP="00566F0E">
            <w:pPr>
              <w:pStyle w:val="TableBody"/>
              <w:rPr>
                <w:b w:val="0"/>
                <w:bCs w:val="0"/>
              </w:rPr>
            </w:pPr>
            <w:r w:rsidRPr="00566F0E">
              <w:rPr>
                <w:b w:val="0"/>
                <w:bCs w:val="0"/>
              </w:rPr>
              <w:t>All outputs must be read and assessed</w:t>
            </w:r>
          </w:p>
        </w:tc>
      </w:tr>
      <w:tr w:rsidR="009071C6" w14:paraId="0697BC8D" w14:textId="77777777" w:rsidTr="005175CC">
        <w:trPr>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F46F8" w14:textId="77777777" w:rsidR="009071C6" w:rsidRPr="00566F0E" w:rsidRDefault="009071C6" w:rsidP="00566F0E">
            <w:pPr>
              <w:pStyle w:val="TableBody"/>
              <w:rPr>
                <w:b w:val="0"/>
                <w:bCs w:val="0"/>
              </w:rPr>
            </w:pPr>
            <w:r w:rsidRPr="00566F0E">
              <w:rPr>
                <w:b w:val="0"/>
                <w:bCs w:val="0"/>
              </w:rPr>
              <w:t>Across 26-27</w:t>
            </w:r>
          </w:p>
          <w:p w14:paraId="43524E31" w14:textId="77777777" w:rsidR="009071C6" w:rsidRPr="00566F0E" w:rsidRDefault="009071C6" w:rsidP="00566F0E">
            <w:pPr>
              <w:pStyle w:val="TableBody"/>
            </w:pPr>
            <w:r w:rsidRPr="00566F0E">
              <w:t>Autumn 2026</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E8D2F" w14:textId="77777777" w:rsidR="009071C6" w:rsidRPr="00566F0E" w:rsidRDefault="009071C6" w:rsidP="00566F0E">
            <w:pPr>
              <w:pStyle w:val="TableBody"/>
              <w:rPr>
                <w:b w:val="0"/>
                <w:bCs w:val="0"/>
              </w:rPr>
            </w:pPr>
            <w:r w:rsidRPr="00566F0E">
              <w:rPr>
                <w:b w:val="0"/>
                <w:bCs w:val="0"/>
              </w:rPr>
              <w:t>REF WP &amp; RSG scheduled monthly – only held if items to discuss</w:t>
            </w:r>
          </w:p>
          <w:p w14:paraId="42CB26AE" w14:textId="77777777" w:rsidR="009071C6" w:rsidRPr="00566F0E" w:rsidRDefault="009071C6" w:rsidP="00566F0E">
            <w:pPr>
              <w:pStyle w:val="TableBody"/>
            </w:pPr>
            <w:r w:rsidRPr="00566F0E">
              <w:t>Final guidance published</w:t>
            </w:r>
          </w:p>
        </w:tc>
      </w:tr>
      <w:tr w:rsidR="009071C6" w14:paraId="3FFEDF9B" w14:textId="77777777" w:rsidTr="005175CC">
        <w:trPr>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930D0" w14:textId="77777777" w:rsidR="009071C6" w:rsidRPr="00566F0E" w:rsidRDefault="009071C6" w:rsidP="00566F0E">
            <w:pPr>
              <w:pStyle w:val="TableBody"/>
              <w:rPr>
                <w:b w:val="0"/>
                <w:bCs w:val="0"/>
              </w:rPr>
            </w:pPr>
            <w:r w:rsidRPr="00566F0E">
              <w:rPr>
                <w:b w:val="0"/>
                <w:bCs w:val="0"/>
              </w:rPr>
              <w:t>September 2026</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248E4" w14:textId="77777777" w:rsidR="009071C6" w:rsidRPr="00566F0E" w:rsidRDefault="009071C6" w:rsidP="00566F0E">
            <w:pPr>
              <w:pStyle w:val="TableBody"/>
              <w:rPr>
                <w:b w:val="0"/>
                <w:bCs w:val="0"/>
              </w:rPr>
            </w:pPr>
            <w:r w:rsidRPr="00566F0E">
              <w:rPr>
                <w:b w:val="0"/>
                <w:bCs w:val="0"/>
              </w:rPr>
              <w:t>Third College-level review of possible impact case studies with recommendations about selection of impact case studies to be returned</w:t>
            </w:r>
          </w:p>
          <w:p w14:paraId="0AF34EEA" w14:textId="77777777" w:rsidR="009071C6" w:rsidRPr="00566F0E" w:rsidRDefault="009071C6" w:rsidP="00566F0E">
            <w:pPr>
              <w:pStyle w:val="TableBody"/>
              <w:rPr>
                <w:b w:val="0"/>
                <w:bCs w:val="0"/>
              </w:rPr>
            </w:pPr>
            <w:r w:rsidRPr="00566F0E">
              <w:rPr>
                <w:b w:val="0"/>
                <w:bCs w:val="0"/>
              </w:rPr>
              <w:t>Independent researcher exercise for whole census (to date) completed</w:t>
            </w:r>
          </w:p>
          <w:p w14:paraId="332712B1" w14:textId="77777777" w:rsidR="009071C6" w:rsidRPr="00566F0E" w:rsidRDefault="009071C6" w:rsidP="00566F0E">
            <w:pPr>
              <w:pStyle w:val="TableBody"/>
              <w:rPr>
                <w:b w:val="0"/>
                <w:bCs w:val="0"/>
              </w:rPr>
            </w:pPr>
            <w:r w:rsidRPr="00566F0E">
              <w:rPr>
                <w:b w:val="0"/>
                <w:bCs w:val="0"/>
              </w:rPr>
              <w:t>Invitation to research enabling staff to nominate outputs</w:t>
            </w:r>
          </w:p>
          <w:p w14:paraId="7D04E62A" w14:textId="77777777" w:rsidR="009071C6" w:rsidRPr="00566F0E" w:rsidRDefault="009071C6" w:rsidP="00566F0E">
            <w:pPr>
              <w:pStyle w:val="TableBody"/>
              <w:rPr>
                <w:b w:val="0"/>
                <w:bCs w:val="0"/>
              </w:rPr>
            </w:pPr>
            <w:r w:rsidRPr="00566F0E">
              <w:rPr>
                <w:b w:val="0"/>
                <w:bCs w:val="0"/>
              </w:rPr>
              <w:t>Baseline EIA data collection exercise</w:t>
            </w:r>
          </w:p>
        </w:tc>
      </w:tr>
      <w:tr w:rsidR="009071C6" w14:paraId="05739E80" w14:textId="77777777" w:rsidTr="005175CC">
        <w:trPr>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50B03" w14:textId="77777777" w:rsidR="009071C6" w:rsidRPr="00566F0E" w:rsidRDefault="009071C6" w:rsidP="00566F0E">
            <w:pPr>
              <w:pStyle w:val="TableBody"/>
              <w:rPr>
                <w:b w:val="0"/>
                <w:bCs w:val="0"/>
              </w:rPr>
            </w:pPr>
            <w:r w:rsidRPr="00566F0E">
              <w:rPr>
                <w:b w:val="0"/>
                <w:bCs w:val="0"/>
              </w:rPr>
              <w:t>December 2026</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4336E" w14:textId="77777777" w:rsidR="009071C6" w:rsidRPr="00566F0E" w:rsidRDefault="009071C6" w:rsidP="00566F0E">
            <w:pPr>
              <w:pStyle w:val="TableBody"/>
              <w:rPr>
                <w:b w:val="0"/>
                <w:bCs w:val="0"/>
              </w:rPr>
            </w:pPr>
            <w:r w:rsidRPr="00566F0E">
              <w:rPr>
                <w:b w:val="0"/>
                <w:bCs w:val="0"/>
              </w:rPr>
              <w:t>Initial selection of outputs; check for open access policy compliance begun</w:t>
            </w:r>
          </w:p>
          <w:p w14:paraId="7105C56B" w14:textId="77777777" w:rsidR="009071C6" w:rsidRPr="00566F0E" w:rsidRDefault="009071C6" w:rsidP="00566F0E">
            <w:pPr>
              <w:pStyle w:val="TableBody"/>
              <w:rPr>
                <w:b w:val="0"/>
                <w:bCs w:val="0"/>
              </w:rPr>
            </w:pPr>
            <w:r w:rsidRPr="00566F0E">
              <w:rPr>
                <w:b w:val="0"/>
                <w:bCs w:val="0"/>
              </w:rPr>
              <w:t>Initial EIA on the selected outputs</w:t>
            </w:r>
          </w:p>
        </w:tc>
      </w:tr>
      <w:tr w:rsidR="009071C6" w14:paraId="429A65B7" w14:textId="77777777" w:rsidTr="005175CC">
        <w:trPr>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43518" w14:textId="77777777" w:rsidR="009071C6" w:rsidRPr="00566F0E" w:rsidRDefault="009071C6" w:rsidP="00566F0E">
            <w:pPr>
              <w:pStyle w:val="TableBody"/>
              <w:rPr>
                <w:b w:val="0"/>
                <w:bCs w:val="0"/>
              </w:rPr>
            </w:pPr>
            <w:r w:rsidRPr="00566F0E">
              <w:rPr>
                <w:b w:val="0"/>
                <w:bCs w:val="0"/>
              </w:rPr>
              <w:t>December 2026</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5B415" w14:textId="77777777" w:rsidR="009071C6" w:rsidRPr="00566F0E" w:rsidRDefault="009071C6" w:rsidP="00566F0E">
            <w:pPr>
              <w:pStyle w:val="TableBody"/>
              <w:rPr>
                <w:b w:val="0"/>
                <w:bCs w:val="0"/>
              </w:rPr>
            </w:pPr>
            <w:r w:rsidRPr="00566F0E">
              <w:rPr>
                <w:b w:val="0"/>
                <w:bCs w:val="0"/>
              </w:rPr>
              <w:t>Initial draft of institutional SPRE statement produced</w:t>
            </w:r>
          </w:p>
        </w:tc>
      </w:tr>
      <w:tr w:rsidR="009071C6" w14:paraId="3FC05307" w14:textId="77777777" w:rsidTr="005175CC">
        <w:trPr>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D0063" w14:textId="77777777" w:rsidR="009071C6" w:rsidRPr="00566F0E" w:rsidRDefault="009071C6" w:rsidP="00566F0E">
            <w:pPr>
              <w:pStyle w:val="TableBody"/>
            </w:pPr>
            <w:r w:rsidRPr="00566F0E">
              <w:t>Spring 2027</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4A6D1" w14:textId="77777777" w:rsidR="009071C6" w:rsidRPr="00566F0E" w:rsidRDefault="009071C6" w:rsidP="00566F0E">
            <w:pPr>
              <w:pStyle w:val="TableBody"/>
            </w:pPr>
            <w:r w:rsidRPr="00566F0E">
              <w:t>Survey of Submission intentions</w:t>
            </w:r>
          </w:p>
        </w:tc>
      </w:tr>
      <w:tr w:rsidR="009071C6" w14:paraId="18C0866D" w14:textId="77777777" w:rsidTr="005175CC">
        <w:trPr>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E08BC" w14:textId="77777777" w:rsidR="009071C6" w:rsidRPr="00566F0E" w:rsidRDefault="009071C6" w:rsidP="00566F0E">
            <w:pPr>
              <w:pStyle w:val="TableBody"/>
              <w:rPr>
                <w:b w:val="0"/>
                <w:bCs w:val="0"/>
              </w:rPr>
            </w:pPr>
            <w:r w:rsidRPr="00566F0E">
              <w:rPr>
                <w:b w:val="0"/>
                <w:bCs w:val="0"/>
              </w:rPr>
              <w:t xml:space="preserve">Spring/Summer 2027 </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2024A" w14:textId="77777777" w:rsidR="009071C6" w:rsidRPr="00566F0E" w:rsidRDefault="009071C6" w:rsidP="00566F0E">
            <w:pPr>
              <w:pStyle w:val="TableBody"/>
              <w:rPr>
                <w:b w:val="0"/>
                <w:bCs w:val="0"/>
              </w:rPr>
            </w:pPr>
            <w:r w:rsidRPr="00566F0E">
              <w:rPr>
                <w:b w:val="0"/>
                <w:bCs w:val="0"/>
              </w:rPr>
              <w:t xml:space="preserve">Updated whole census staff list (to date) provided to REF leads including eligible employment relationship check </w:t>
            </w:r>
          </w:p>
          <w:p w14:paraId="577EC399" w14:textId="77777777" w:rsidR="009071C6" w:rsidRPr="00566F0E" w:rsidRDefault="009071C6" w:rsidP="00566F0E">
            <w:pPr>
              <w:pStyle w:val="TableBody"/>
              <w:rPr>
                <w:b w:val="0"/>
                <w:bCs w:val="0"/>
              </w:rPr>
            </w:pPr>
            <w:r w:rsidRPr="00566F0E">
              <w:rPr>
                <w:b w:val="0"/>
                <w:bCs w:val="0"/>
              </w:rPr>
              <w:t>2</w:t>
            </w:r>
            <w:r w:rsidRPr="00566F0E">
              <w:rPr>
                <w:b w:val="0"/>
                <w:bCs w:val="0"/>
                <w:vertAlign w:val="superscript"/>
              </w:rPr>
              <w:t>nd</w:t>
            </w:r>
            <w:r w:rsidRPr="00566F0E">
              <w:rPr>
                <w:b w:val="0"/>
                <w:bCs w:val="0"/>
              </w:rPr>
              <w:t xml:space="preserve"> Researcher independence exercise</w:t>
            </w:r>
          </w:p>
          <w:p w14:paraId="3522A205" w14:textId="7C8604D3" w:rsidR="009071C6" w:rsidRPr="00566F0E" w:rsidRDefault="009071C6" w:rsidP="00566F0E">
            <w:pPr>
              <w:pStyle w:val="TableBody"/>
              <w:rPr>
                <w:b w:val="0"/>
                <w:bCs w:val="0"/>
              </w:rPr>
            </w:pPr>
            <w:r w:rsidRPr="00566F0E">
              <w:rPr>
                <w:b w:val="0"/>
                <w:bCs w:val="0"/>
              </w:rPr>
              <w:t>REF Equality, Diversity and Inclusion Committee review of 1</w:t>
            </w:r>
            <w:r w:rsidRPr="00566F0E">
              <w:rPr>
                <w:b w:val="0"/>
                <w:bCs w:val="0"/>
                <w:vertAlign w:val="superscript"/>
              </w:rPr>
              <w:t>st</w:t>
            </w:r>
            <w:r w:rsidRPr="00566F0E">
              <w:rPr>
                <w:b w:val="0"/>
                <w:bCs w:val="0"/>
              </w:rPr>
              <w:t xml:space="preserve"> independent researcher EIA, 1</w:t>
            </w:r>
            <w:r w:rsidRPr="00566F0E">
              <w:rPr>
                <w:b w:val="0"/>
                <w:bCs w:val="0"/>
                <w:vertAlign w:val="superscript"/>
              </w:rPr>
              <w:t>st</w:t>
            </w:r>
            <w:r w:rsidRPr="00566F0E">
              <w:rPr>
                <w:b w:val="0"/>
                <w:bCs w:val="0"/>
              </w:rPr>
              <w:t xml:space="preserve"> output selection EIA</w:t>
            </w:r>
            <w:r w:rsidR="00267A4E">
              <w:rPr>
                <w:b w:val="0"/>
                <w:bCs w:val="0"/>
              </w:rPr>
              <w:t xml:space="preserve"> </w:t>
            </w:r>
            <w:r w:rsidRPr="00566F0E">
              <w:rPr>
                <w:b w:val="0"/>
                <w:bCs w:val="0"/>
              </w:rPr>
              <w:t xml:space="preserve">and contract allocations to </w:t>
            </w:r>
            <w:proofErr w:type="spellStart"/>
            <w:r w:rsidRPr="00566F0E">
              <w:rPr>
                <w:b w:val="0"/>
                <w:bCs w:val="0"/>
              </w:rPr>
              <w:t>UoAs</w:t>
            </w:r>
            <w:proofErr w:type="spellEnd"/>
          </w:p>
          <w:p w14:paraId="0CAE60B4" w14:textId="77777777" w:rsidR="009071C6" w:rsidRPr="00566F0E" w:rsidRDefault="009071C6" w:rsidP="00566F0E">
            <w:pPr>
              <w:pStyle w:val="TableBody"/>
              <w:rPr>
                <w:b w:val="0"/>
                <w:bCs w:val="0"/>
              </w:rPr>
            </w:pPr>
            <w:r w:rsidRPr="00566F0E">
              <w:rPr>
                <w:b w:val="0"/>
                <w:bCs w:val="0"/>
              </w:rPr>
              <w:t>2x email &amp; IBBK communications with research enabling staff about possible outputs</w:t>
            </w:r>
          </w:p>
        </w:tc>
      </w:tr>
      <w:tr w:rsidR="009071C6" w14:paraId="47729CA4" w14:textId="77777777" w:rsidTr="005175CC">
        <w:trPr>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1BD72" w14:textId="77777777" w:rsidR="009071C6" w:rsidRPr="00566F0E" w:rsidRDefault="009071C6" w:rsidP="00566F0E">
            <w:pPr>
              <w:pStyle w:val="TableBody"/>
              <w:rPr>
                <w:b w:val="0"/>
                <w:bCs w:val="0"/>
              </w:rPr>
            </w:pPr>
            <w:r w:rsidRPr="00566F0E">
              <w:rPr>
                <w:b w:val="0"/>
                <w:bCs w:val="0"/>
              </w:rPr>
              <w:lastRenderedPageBreak/>
              <w:t>End summer 2027</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D7A95" w14:textId="77777777" w:rsidR="009071C6" w:rsidRPr="00566F0E" w:rsidRDefault="009071C6" w:rsidP="00566F0E">
            <w:pPr>
              <w:pStyle w:val="TableBody"/>
              <w:rPr>
                <w:b w:val="0"/>
                <w:bCs w:val="0"/>
              </w:rPr>
            </w:pPr>
            <w:r w:rsidRPr="00566F0E">
              <w:rPr>
                <w:b w:val="0"/>
                <w:bCs w:val="0"/>
              </w:rPr>
              <w:t xml:space="preserve">Second selection of outputs </w:t>
            </w:r>
          </w:p>
          <w:p w14:paraId="27547A80" w14:textId="77777777" w:rsidR="009071C6" w:rsidRPr="00566F0E" w:rsidRDefault="009071C6" w:rsidP="00566F0E">
            <w:pPr>
              <w:pStyle w:val="TableBody"/>
              <w:rPr>
                <w:b w:val="0"/>
                <w:bCs w:val="0"/>
              </w:rPr>
            </w:pPr>
            <w:r w:rsidRPr="00566F0E">
              <w:rPr>
                <w:b w:val="0"/>
                <w:bCs w:val="0"/>
              </w:rPr>
              <w:t>Second EIA on the selected outputs</w:t>
            </w:r>
          </w:p>
          <w:p w14:paraId="6EEC4834" w14:textId="77777777" w:rsidR="009071C6" w:rsidRPr="00566F0E" w:rsidRDefault="009071C6" w:rsidP="00566F0E">
            <w:pPr>
              <w:pStyle w:val="TableBody"/>
              <w:rPr>
                <w:b w:val="0"/>
                <w:bCs w:val="0"/>
              </w:rPr>
            </w:pPr>
            <w:r w:rsidRPr="00566F0E">
              <w:rPr>
                <w:b w:val="0"/>
                <w:bCs w:val="0"/>
              </w:rPr>
              <w:t>First draft of impact case studies on the correct template</w:t>
            </w:r>
          </w:p>
          <w:p w14:paraId="799AEC92" w14:textId="77777777" w:rsidR="009071C6" w:rsidRPr="00566F0E" w:rsidRDefault="009071C6" w:rsidP="00566F0E">
            <w:pPr>
              <w:pStyle w:val="TableBody"/>
              <w:rPr>
                <w:b w:val="0"/>
                <w:bCs w:val="0"/>
              </w:rPr>
            </w:pPr>
            <w:r w:rsidRPr="00566F0E">
              <w:rPr>
                <w:b w:val="0"/>
                <w:bCs w:val="0"/>
              </w:rPr>
              <w:t>First draft of narratives and environment data prepared</w:t>
            </w:r>
          </w:p>
        </w:tc>
      </w:tr>
      <w:tr w:rsidR="009071C6" w14:paraId="1C40A615" w14:textId="77777777" w:rsidTr="005175CC">
        <w:trPr>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0264F" w14:textId="77777777" w:rsidR="009071C6" w:rsidRPr="00ED2586" w:rsidRDefault="009071C6" w:rsidP="00566F0E">
            <w:pPr>
              <w:pStyle w:val="TableBody"/>
            </w:pPr>
            <w:r w:rsidRPr="00ED2586">
              <w:t>31</w:t>
            </w:r>
            <w:r w:rsidRPr="00ED2586">
              <w:rPr>
                <w:vertAlign w:val="superscript"/>
              </w:rPr>
              <w:t>st</w:t>
            </w:r>
            <w:r w:rsidRPr="00ED2586">
              <w:t xml:space="preserve"> July 2027</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A594D" w14:textId="77777777" w:rsidR="009071C6" w:rsidRPr="00ED2586" w:rsidRDefault="009071C6" w:rsidP="00566F0E">
            <w:pPr>
              <w:pStyle w:val="TableBody"/>
            </w:pPr>
            <w:r w:rsidRPr="00ED2586">
              <w:t>HESA volume measure data collection ends</w:t>
            </w:r>
          </w:p>
        </w:tc>
      </w:tr>
      <w:tr w:rsidR="009071C6" w14:paraId="78C72B0D" w14:textId="77777777" w:rsidTr="005175CC">
        <w:trPr>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03590" w14:textId="77777777" w:rsidR="009071C6" w:rsidRPr="00566F0E" w:rsidRDefault="009071C6" w:rsidP="00566F0E">
            <w:pPr>
              <w:pStyle w:val="TableBody"/>
              <w:rPr>
                <w:b w:val="0"/>
                <w:bCs w:val="0"/>
              </w:rPr>
            </w:pPr>
            <w:r w:rsidRPr="00566F0E">
              <w:rPr>
                <w:b w:val="0"/>
                <w:bCs w:val="0"/>
              </w:rPr>
              <w:t>Across 27-28</w:t>
            </w:r>
          </w:p>
          <w:p w14:paraId="0F83CF86" w14:textId="77777777" w:rsidR="009071C6" w:rsidRPr="00ED2586" w:rsidRDefault="009071C6" w:rsidP="00566F0E">
            <w:pPr>
              <w:pStyle w:val="TableBody"/>
            </w:pPr>
            <w:r w:rsidRPr="00ED2586">
              <w:t>Autumn 2027</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D050C" w14:textId="77777777" w:rsidR="009071C6" w:rsidRPr="00566F0E" w:rsidRDefault="009071C6" w:rsidP="00566F0E">
            <w:pPr>
              <w:pStyle w:val="TableBody"/>
              <w:rPr>
                <w:b w:val="0"/>
                <w:bCs w:val="0"/>
              </w:rPr>
            </w:pPr>
            <w:r w:rsidRPr="00566F0E">
              <w:rPr>
                <w:b w:val="0"/>
                <w:bCs w:val="0"/>
              </w:rPr>
              <w:t>REF WP &amp; RSG scheduled monthly – only held if items to discuss</w:t>
            </w:r>
          </w:p>
          <w:p w14:paraId="44776E22" w14:textId="77777777" w:rsidR="009071C6" w:rsidRPr="00ED2586" w:rsidRDefault="009071C6" w:rsidP="00566F0E">
            <w:pPr>
              <w:pStyle w:val="TableBody"/>
            </w:pPr>
            <w:r w:rsidRPr="00ED2586">
              <w:t>Submission system opens</w:t>
            </w:r>
          </w:p>
          <w:p w14:paraId="34C8E0D9" w14:textId="77777777" w:rsidR="009071C6" w:rsidRPr="00566F0E" w:rsidRDefault="009071C6" w:rsidP="00566F0E">
            <w:pPr>
              <w:pStyle w:val="TableBody"/>
              <w:rPr>
                <w:b w:val="0"/>
                <w:bCs w:val="0"/>
              </w:rPr>
            </w:pPr>
            <w:r w:rsidRPr="00566F0E">
              <w:rPr>
                <w:b w:val="0"/>
                <w:bCs w:val="0"/>
              </w:rPr>
              <w:t>Whole census staff list (to date) provided to REF leads</w:t>
            </w:r>
          </w:p>
          <w:p w14:paraId="1966BE26" w14:textId="77777777" w:rsidR="009071C6" w:rsidRPr="00566F0E" w:rsidRDefault="009071C6" w:rsidP="00566F0E">
            <w:pPr>
              <w:pStyle w:val="TableBody"/>
              <w:rPr>
                <w:b w:val="0"/>
                <w:bCs w:val="0"/>
              </w:rPr>
            </w:pPr>
            <w:r w:rsidRPr="00566F0E">
              <w:rPr>
                <w:b w:val="0"/>
                <w:bCs w:val="0"/>
              </w:rPr>
              <w:t>Independent researcher exercise for 26/27 completed</w:t>
            </w:r>
          </w:p>
          <w:p w14:paraId="15997F10" w14:textId="77777777" w:rsidR="009071C6" w:rsidRPr="00566F0E" w:rsidRDefault="009071C6" w:rsidP="00566F0E">
            <w:pPr>
              <w:pStyle w:val="TableBody"/>
              <w:rPr>
                <w:b w:val="0"/>
                <w:bCs w:val="0"/>
              </w:rPr>
            </w:pPr>
            <w:r w:rsidRPr="00566F0E">
              <w:rPr>
                <w:b w:val="0"/>
                <w:bCs w:val="0"/>
              </w:rPr>
              <w:t>Uploading of HESA data, outputs and environment data begins</w:t>
            </w:r>
          </w:p>
          <w:p w14:paraId="3CAC58B0" w14:textId="77777777" w:rsidR="009071C6" w:rsidRPr="00566F0E" w:rsidRDefault="009071C6" w:rsidP="00566F0E">
            <w:pPr>
              <w:pStyle w:val="TableBody"/>
              <w:rPr>
                <w:b w:val="0"/>
                <w:bCs w:val="0"/>
              </w:rPr>
            </w:pPr>
            <w:proofErr w:type="gramStart"/>
            <w:r w:rsidRPr="00566F0E">
              <w:rPr>
                <w:b w:val="0"/>
                <w:bCs w:val="0"/>
              </w:rPr>
              <w:t>Checking of</w:t>
            </w:r>
            <w:proofErr w:type="gramEnd"/>
            <w:r w:rsidRPr="00566F0E">
              <w:rPr>
                <w:b w:val="0"/>
                <w:bCs w:val="0"/>
              </w:rPr>
              <w:t xml:space="preserve"> uploaded data begins</w:t>
            </w:r>
          </w:p>
          <w:p w14:paraId="3AD3238A" w14:textId="77777777" w:rsidR="009071C6" w:rsidRPr="00566F0E" w:rsidRDefault="009071C6" w:rsidP="00566F0E">
            <w:pPr>
              <w:pStyle w:val="TableBody"/>
              <w:rPr>
                <w:b w:val="0"/>
                <w:bCs w:val="0"/>
              </w:rPr>
            </w:pPr>
            <w:r w:rsidRPr="00566F0E">
              <w:rPr>
                <w:b w:val="0"/>
                <w:bCs w:val="0"/>
              </w:rPr>
              <w:t>Invitation to research enabling staff to nominate outputs</w:t>
            </w:r>
          </w:p>
          <w:p w14:paraId="51074989" w14:textId="77777777" w:rsidR="009071C6" w:rsidRPr="00566F0E" w:rsidRDefault="009071C6" w:rsidP="00566F0E">
            <w:pPr>
              <w:pStyle w:val="TableBody"/>
              <w:rPr>
                <w:b w:val="0"/>
                <w:bCs w:val="0"/>
              </w:rPr>
            </w:pPr>
            <w:r w:rsidRPr="00566F0E">
              <w:rPr>
                <w:b w:val="0"/>
                <w:bCs w:val="0"/>
              </w:rPr>
              <w:t>Final email &amp; IBBK communications with research enabling staff about possible outputs</w:t>
            </w:r>
          </w:p>
          <w:p w14:paraId="1F9CF5E5" w14:textId="4B6054C0" w:rsidR="009071C6" w:rsidRPr="00566F0E" w:rsidRDefault="009071C6" w:rsidP="00566F0E">
            <w:pPr>
              <w:pStyle w:val="TableBody"/>
              <w:rPr>
                <w:b w:val="0"/>
                <w:bCs w:val="0"/>
              </w:rPr>
            </w:pPr>
            <w:r w:rsidRPr="00566F0E">
              <w:rPr>
                <w:b w:val="0"/>
                <w:bCs w:val="0"/>
              </w:rPr>
              <w:t>REF Equality, Diversity and Inclusion Committee review of 2</w:t>
            </w:r>
            <w:r w:rsidRPr="00566F0E">
              <w:rPr>
                <w:b w:val="0"/>
                <w:bCs w:val="0"/>
                <w:vertAlign w:val="superscript"/>
              </w:rPr>
              <w:t>nd</w:t>
            </w:r>
            <w:r w:rsidRPr="00566F0E">
              <w:rPr>
                <w:b w:val="0"/>
                <w:bCs w:val="0"/>
              </w:rPr>
              <w:t xml:space="preserve"> independent researcher EIA, 2</w:t>
            </w:r>
            <w:r w:rsidRPr="00566F0E">
              <w:rPr>
                <w:b w:val="0"/>
                <w:bCs w:val="0"/>
                <w:vertAlign w:val="superscript"/>
              </w:rPr>
              <w:t>nd</w:t>
            </w:r>
            <w:r w:rsidRPr="00566F0E">
              <w:rPr>
                <w:b w:val="0"/>
                <w:bCs w:val="0"/>
              </w:rPr>
              <w:t xml:space="preserve"> output selection EIA</w:t>
            </w:r>
            <w:r w:rsidR="00267A4E">
              <w:rPr>
                <w:b w:val="0"/>
                <w:bCs w:val="0"/>
              </w:rPr>
              <w:t xml:space="preserve"> </w:t>
            </w:r>
            <w:r w:rsidRPr="00566F0E">
              <w:rPr>
                <w:b w:val="0"/>
                <w:bCs w:val="0"/>
              </w:rPr>
              <w:t xml:space="preserve">and contract allocations to </w:t>
            </w:r>
            <w:proofErr w:type="spellStart"/>
            <w:r w:rsidRPr="00566F0E">
              <w:rPr>
                <w:b w:val="0"/>
                <w:bCs w:val="0"/>
              </w:rPr>
              <w:t>UoAs</w:t>
            </w:r>
            <w:proofErr w:type="spellEnd"/>
          </w:p>
          <w:p w14:paraId="639225F6" w14:textId="77777777" w:rsidR="009071C6" w:rsidRPr="00566F0E" w:rsidRDefault="009071C6" w:rsidP="00566F0E">
            <w:pPr>
              <w:pStyle w:val="TableBody"/>
              <w:rPr>
                <w:b w:val="0"/>
                <w:bCs w:val="0"/>
              </w:rPr>
            </w:pPr>
          </w:p>
        </w:tc>
      </w:tr>
      <w:tr w:rsidR="009071C6" w14:paraId="667D5457" w14:textId="77777777" w:rsidTr="005175CC">
        <w:trPr>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CB8604" w14:textId="77777777" w:rsidR="009071C6" w:rsidRPr="00566F0E" w:rsidRDefault="009071C6" w:rsidP="00566F0E">
            <w:pPr>
              <w:pStyle w:val="TableBody"/>
              <w:rPr>
                <w:b w:val="0"/>
                <w:bCs w:val="0"/>
              </w:rPr>
            </w:pPr>
            <w:r w:rsidRPr="00566F0E">
              <w:rPr>
                <w:b w:val="0"/>
                <w:bCs w:val="0"/>
              </w:rPr>
              <w:t>March 2028</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0F756" w14:textId="77777777" w:rsidR="009071C6" w:rsidRPr="00566F0E" w:rsidRDefault="009071C6" w:rsidP="00566F0E">
            <w:pPr>
              <w:pStyle w:val="TableBody"/>
              <w:rPr>
                <w:b w:val="0"/>
                <w:bCs w:val="0"/>
              </w:rPr>
            </w:pPr>
            <w:r w:rsidRPr="00566F0E">
              <w:rPr>
                <w:b w:val="0"/>
                <w:bCs w:val="0"/>
              </w:rPr>
              <w:t>Final invitation to research enabling staff to nominate outputs</w:t>
            </w:r>
          </w:p>
        </w:tc>
      </w:tr>
      <w:tr w:rsidR="009071C6" w14:paraId="7071C1F1" w14:textId="77777777" w:rsidTr="005175CC">
        <w:trPr>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96CFD" w14:textId="77777777" w:rsidR="009071C6" w:rsidRPr="00566F0E" w:rsidRDefault="009071C6" w:rsidP="00566F0E">
            <w:pPr>
              <w:pStyle w:val="TableBody"/>
              <w:rPr>
                <w:b w:val="0"/>
                <w:bCs w:val="0"/>
              </w:rPr>
            </w:pPr>
            <w:r w:rsidRPr="00566F0E">
              <w:rPr>
                <w:b w:val="0"/>
                <w:bCs w:val="0"/>
              </w:rPr>
              <w:t>Easter 2028</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70883" w14:textId="77777777" w:rsidR="009071C6" w:rsidRPr="00566F0E" w:rsidRDefault="009071C6" w:rsidP="00566F0E">
            <w:pPr>
              <w:pStyle w:val="TableBody"/>
              <w:rPr>
                <w:b w:val="0"/>
                <w:bCs w:val="0"/>
              </w:rPr>
            </w:pPr>
            <w:r w:rsidRPr="00566F0E">
              <w:rPr>
                <w:b w:val="0"/>
                <w:bCs w:val="0"/>
              </w:rPr>
              <w:t xml:space="preserve">Final selection of outputs (including OA eligibility check on outputs from later selection rounds). </w:t>
            </w:r>
            <w:proofErr w:type="spellStart"/>
            <w:r w:rsidRPr="00566F0E">
              <w:rPr>
                <w:b w:val="0"/>
                <w:bCs w:val="0"/>
              </w:rPr>
              <w:t>UoA</w:t>
            </w:r>
            <w:proofErr w:type="spellEnd"/>
            <w:r w:rsidRPr="00566F0E">
              <w:rPr>
                <w:b w:val="0"/>
                <w:bCs w:val="0"/>
              </w:rPr>
              <w:t>-level reading of available outputs complete; (NB ad hoc reading of newly available outputs to continue until November 2028)</w:t>
            </w:r>
          </w:p>
          <w:p w14:paraId="2C8E8B4B" w14:textId="77777777" w:rsidR="009071C6" w:rsidRPr="00566F0E" w:rsidRDefault="009071C6" w:rsidP="00566F0E">
            <w:pPr>
              <w:pStyle w:val="TableBody"/>
              <w:rPr>
                <w:b w:val="0"/>
                <w:bCs w:val="0"/>
              </w:rPr>
            </w:pPr>
            <w:r w:rsidRPr="00566F0E">
              <w:rPr>
                <w:b w:val="0"/>
                <w:bCs w:val="0"/>
              </w:rPr>
              <w:t>Final EIA on the selected outputs</w:t>
            </w:r>
          </w:p>
          <w:p w14:paraId="73827FE7" w14:textId="77777777" w:rsidR="009071C6" w:rsidRPr="00566F0E" w:rsidRDefault="009071C6" w:rsidP="00566F0E">
            <w:pPr>
              <w:pStyle w:val="TableBody"/>
              <w:rPr>
                <w:b w:val="0"/>
                <w:bCs w:val="0"/>
              </w:rPr>
            </w:pPr>
            <w:r w:rsidRPr="00566F0E">
              <w:rPr>
                <w:b w:val="0"/>
                <w:bCs w:val="0"/>
              </w:rPr>
              <w:t>Penultimate drafts: Impact Case Studies, SPRE Statements, Environment data</w:t>
            </w:r>
          </w:p>
        </w:tc>
      </w:tr>
      <w:tr w:rsidR="009071C6" w14:paraId="0B0EBD5D" w14:textId="77777777" w:rsidTr="005175CC">
        <w:trPr>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A32A9" w14:textId="77777777" w:rsidR="009071C6" w:rsidRPr="00ED2586" w:rsidRDefault="009071C6" w:rsidP="00566F0E">
            <w:pPr>
              <w:pStyle w:val="TableBody"/>
            </w:pPr>
            <w:r w:rsidRPr="00ED2586">
              <w:t>July 31</w:t>
            </w:r>
            <w:r w:rsidRPr="00ED2586">
              <w:rPr>
                <w:vertAlign w:val="superscript"/>
              </w:rPr>
              <w:t>st</w:t>
            </w:r>
            <w:r w:rsidRPr="00ED2586">
              <w:t xml:space="preserve"> 2028</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65DD5" w14:textId="77777777" w:rsidR="009071C6" w:rsidRPr="00ED2586" w:rsidRDefault="009071C6" w:rsidP="00566F0E">
            <w:pPr>
              <w:pStyle w:val="TableBody"/>
            </w:pPr>
            <w:r w:rsidRPr="00ED2586">
              <w:t>Census date for environment</w:t>
            </w:r>
          </w:p>
          <w:p w14:paraId="08AA5F17" w14:textId="77777777" w:rsidR="009071C6" w:rsidRPr="00ED2586" w:rsidRDefault="009071C6" w:rsidP="00566F0E">
            <w:pPr>
              <w:pStyle w:val="TableBody"/>
            </w:pPr>
            <w:r w:rsidRPr="00ED2586">
              <w:t>Census date for impact</w:t>
            </w:r>
          </w:p>
        </w:tc>
      </w:tr>
      <w:tr w:rsidR="009071C6" w14:paraId="312A0A4E" w14:textId="77777777" w:rsidTr="005175CC">
        <w:trPr>
          <w:trHeight w:val="397"/>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3619D" w14:textId="77777777" w:rsidR="009071C6" w:rsidRPr="00566F0E" w:rsidRDefault="009071C6" w:rsidP="00566F0E">
            <w:pPr>
              <w:pStyle w:val="TableBody"/>
              <w:rPr>
                <w:b w:val="0"/>
                <w:bCs w:val="0"/>
              </w:rPr>
            </w:pPr>
            <w:r w:rsidRPr="00566F0E">
              <w:rPr>
                <w:b w:val="0"/>
                <w:bCs w:val="0"/>
              </w:rPr>
              <w:t>Spring/Summer 2028</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4B326" w14:textId="77777777" w:rsidR="009071C6" w:rsidRPr="00566F0E" w:rsidRDefault="009071C6" w:rsidP="00566F0E">
            <w:pPr>
              <w:pStyle w:val="TableBody"/>
              <w:rPr>
                <w:b w:val="0"/>
                <w:bCs w:val="0"/>
              </w:rPr>
            </w:pPr>
            <w:r w:rsidRPr="00566F0E">
              <w:rPr>
                <w:b w:val="0"/>
                <w:bCs w:val="0"/>
              </w:rPr>
              <w:t xml:space="preserve">Updated whole census staff list (to date) provided to REF leads including eligible employment relationship check </w:t>
            </w:r>
          </w:p>
          <w:p w14:paraId="2C99C752" w14:textId="77777777" w:rsidR="009071C6" w:rsidRPr="00566F0E" w:rsidRDefault="009071C6" w:rsidP="00566F0E">
            <w:pPr>
              <w:pStyle w:val="TableBody"/>
              <w:rPr>
                <w:b w:val="0"/>
                <w:bCs w:val="0"/>
              </w:rPr>
            </w:pPr>
            <w:r w:rsidRPr="00566F0E">
              <w:rPr>
                <w:b w:val="0"/>
                <w:bCs w:val="0"/>
              </w:rPr>
              <w:t>Final research independence exercise</w:t>
            </w:r>
          </w:p>
          <w:p w14:paraId="22805AD9" w14:textId="223CAA1A" w:rsidR="009071C6" w:rsidRPr="00566F0E" w:rsidRDefault="009071C6" w:rsidP="00566F0E">
            <w:pPr>
              <w:pStyle w:val="TableBody"/>
              <w:rPr>
                <w:b w:val="0"/>
                <w:bCs w:val="0"/>
              </w:rPr>
            </w:pPr>
            <w:r w:rsidRPr="00566F0E">
              <w:rPr>
                <w:b w:val="0"/>
                <w:bCs w:val="0"/>
              </w:rPr>
              <w:t>REF Equality, Diversity and Inclusion Committee review of 3</w:t>
            </w:r>
            <w:r w:rsidRPr="00566F0E">
              <w:rPr>
                <w:b w:val="0"/>
                <w:bCs w:val="0"/>
                <w:vertAlign w:val="superscript"/>
              </w:rPr>
              <w:t>rd</w:t>
            </w:r>
            <w:r w:rsidRPr="00566F0E">
              <w:rPr>
                <w:b w:val="0"/>
                <w:bCs w:val="0"/>
              </w:rPr>
              <w:t xml:space="preserve"> independent researcher EIA, 3</w:t>
            </w:r>
            <w:r w:rsidRPr="00566F0E">
              <w:rPr>
                <w:b w:val="0"/>
                <w:bCs w:val="0"/>
                <w:vertAlign w:val="superscript"/>
              </w:rPr>
              <w:t>rd</w:t>
            </w:r>
            <w:r w:rsidRPr="00566F0E">
              <w:rPr>
                <w:b w:val="0"/>
                <w:bCs w:val="0"/>
              </w:rPr>
              <w:t xml:space="preserve"> output selection EIA</w:t>
            </w:r>
            <w:r w:rsidR="00267A4E">
              <w:rPr>
                <w:b w:val="0"/>
                <w:bCs w:val="0"/>
              </w:rPr>
              <w:t xml:space="preserve"> </w:t>
            </w:r>
            <w:r w:rsidRPr="00566F0E">
              <w:rPr>
                <w:b w:val="0"/>
                <w:bCs w:val="0"/>
              </w:rPr>
              <w:t xml:space="preserve">and contract allocations to </w:t>
            </w:r>
            <w:proofErr w:type="spellStart"/>
            <w:r w:rsidRPr="00566F0E">
              <w:rPr>
                <w:b w:val="0"/>
                <w:bCs w:val="0"/>
              </w:rPr>
              <w:t>UoAs</w:t>
            </w:r>
            <w:proofErr w:type="spellEnd"/>
          </w:p>
        </w:tc>
      </w:tr>
      <w:tr w:rsidR="009071C6" w14:paraId="5354350D" w14:textId="77777777" w:rsidTr="005175CC">
        <w:trPr>
          <w:trHeight w:val="852"/>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DA1326" w14:textId="77777777" w:rsidR="009071C6" w:rsidRPr="00566F0E" w:rsidRDefault="009071C6" w:rsidP="00566F0E">
            <w:pPr>
              <w:pStyle w:val="TableBody"/>
              <w:rPr>
                <w:b w:val="0"/>
                <w:bCs w:val="0"/>
              </w:rPr>
            </w:pPr>
            <w:r w:rsidRPr="00566F0E">
              <w:rPr>
                <w:b w:val="0"/>
                <w:bCs w:val="0"/>
              </w:rPr>
              <w:t>Across Term 1 28/29</w:t>
            </w:r>
          </w:p>
          <w:p w14:paraId="2D1D7737" w14:textId="77777777" w:rsidR="009071C6" w:rsidRPr="00566F0E" w:rsidRDefault="009071C6" w:rsidP="00566F0E">
            <w:pPr>
              <w:pStyle w:val="TableBody"/>
              <w:rPr>
                <w:b w:val="0"/>
                <w:bCs w:val="0"/>
              </w:rPr>
            </w:pPr>
            <w:r w:rsidRPr="00566F0E">
              <w:rPr>
                <w:b w:val="0"/>
                <w:bCs w:val="0"/>
              </w:rPr>
              <w:t>September 2028</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34DB9" w14:textId="77777777" w:rsidR="009071C6" w:rsidRPr="00566F0E" w:rsidRDefault="009071C6" w:rsidP="00566F0E">
            <w:pPr>
              <w:pStyle w:val="TableBody"/>
              <w:rPr>
                <w:b w:val="0"/>
                <w:bCs w:val="0"/>
              </w:rPr>
            </w:pPr>
            <w:r w:rsidRPr="00566F0E">
              <w:rPr>
                <w:b w:val="0"/>
                <w:bCs w:val="0"/>
              </w:rPr>
              <w:t>REF WP &amp; RSG scheduled monthly – only held if items to discuss</w:t>
            </w:r>
          </w:p>
          <w:p w14:paraId="08799CC2" w14:textId="77777777" w:rsidR="009071C6" w:rsidRPr="00566F0E" w:rsidRDefault="009071C6" w:rsidP="00566F0E">
            <w:pPr>
              <w:pStyle w:val="TableBody"/>
              <w:rPr>
                <w:b w:val="0"/>
                <w:bCs w:val="0"/>
              </w:rPr>
            </w:pPr>
            <w:r w:rsidRPr="00566F0E">
              <w:rPr>
                <w:b w:val="0"/>
                <w:bCs w:val="0"/>
              </w:rPr>
              <w:t>Final versions:</w:t>
            </w:r>
          </w:p>
          <w:p w14:paraId="3C7F7D31" w14:textId="77777777" w:rsidR="009071C6" w:rsidRPr="00566F0E" w:rsidRDefault="009071C6" w:rsidP="00566F0E">
            <w:pPr>
              <w:pStyle w:val="TableBody"/>
              <w:rPr>
                <w:b w:val="0"/>
                <w:bCs w:val="0"/>
              </w:rPr>
            </w:pPr>
            <w:r w:rsidRPr="00566F0E">
              <w:rPr>
                <w:b w:val="0"/>
                <w:bCs w:val="0"/>
              </w:rPr>
              <w:t>impact case studies</w:t>
            </w:r>
          </w:p>
          <w:p w14:paraId="01F29BEB" w14:textId="77777777" w:rsidR="009071C6" w:rsidRPr="00566F0E" w:rsidRDefault="009071C6" w:rsidP="00566F0E">
            <w:pPr>
              <w:pStyle w:val="TableBody"/>
              <w:rPr>
                <w:b w:val="0"/>
                <w:bCs w:val="0"/>
              </w:rPr>
            </w:pPr>
            <w:r w:rsidRPr="00566F0E">
              <w:rPr>
                <w:b w:val="0"/>
                <w:bCs w:val="0"/>
              </w:rPr>
              <w:t>environment statements &amp; data</w:t>
            </w:r>
          </w:p>
        </w:tc>
      </w:tr>
      <w:tr w:rsidR="009071C6" w14:paraId="4E3D5028" w14:textId="77777777" w:rsidTr="005175CC">
        <w:trPr>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413C8" w14:textId="77777777" w:rsidR="009071C6" w:rsidRPr="00566F0E" w:rsidRDefault="009071C6" w:rsidP="00566F0E">
            <w:pPr>
              <w:pStyle w:val="TableBody"/>
              <w:rPr>
                <w:b w:val="0"/>
                <w:bCs w:val="0"/>
              </w:rPr>
            </w:pPr>
            <w:r w:rsidRPr="00566F0E">
              <w:rPr>
                <w:b w:val="0"/>
                <w:bCs w:val="0"/>
              </w:rPr>
              <w:t>End October 2028</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7CB41" w14:textId="77777777" w:rsidR="009071C6" w:rsidRPr="00566F0E" w:rsidRDefault="009071C6" w:rsidP="00566F0E">
            <w:pPr>
              <w:pStyle w:val="TableBody"/>
              <w:rPr>
                <w:b w:val="0"/>
                <w:bCs w:val="0"/>
              </w:rPr>
            </w:pPr>
            <w:r w:rsidRPr="00566F0E">
              <w:rPr>
                <w:b w:val="0"/>
                <w:bCs w:val="0"/>
              </w:rPr>
              <w:t xml:space="preserve">Final submission available for </w:t>
            </w:r>
            <w:proofErr w:type="gramStart"/>
            <w:r w:rsidRPr="00566F0E">
              <w:rPr>
                <w:b w:val="0"/>
                <w:bCs w:val="0"/>
              </w:rPr>
              <w:t>College</w:t>
            </w:r>
            <w:proofErr w:type="gramEnd"/>
            <w:r w:rsidRPr="00566F0E">
              <w:rPr>
                <w:b w:val="0"/>
                <w:bCs w:val="0"/>
              </w:rPr>
              <w:t xml:space="preserve"> review </w:t>
            </w:r>
          </w:p>
        </w:tc>
      </w:tr>
      <w:tr w:rsidR="009071C6" w14:paraId="657C3AD5" w14:textId="77777777" w:rsidTr="005175CC">
        <w:trPr>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8FCAE" w14:textId="77777777" w:rsidR="009071C6" w:rsidRPr="00566F0E" w:rsidRDefault="009071C6" w:rsidP="00566F0E">
            <w:pPr>
              <w:pStyle w:val="TableBody"/>
              <w:rPr>
                <w:b w:val="0"/>
                <w:bCs w:val="0"/>
              </w:rPr>
            </w:pPr>
            <w:r w:rsidRPr="00566F0E">
              <w:rPr>
                <w:b w:val="0"/>
                <w:bCs w:val="0"/>
              </w:rPr>
              <w:t>End October 2028</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25323" w14:textId="77777777" w:rsidR="009071C6" w:rsidRPr="00566F0E" w:rsidRDefault="009071C6" w:rsidP="00566F0E">
            <w:pPr>
              <w:pStyle w:val="TableBody"/>
              <w:rPr>
                <w:b w:val="0"/>
                <w:bCs w:val="0"/>
              </w:rPr>
            </w:pPr>
            <w:r w:rsidRPr="00566F0E">
              <w:rPr>
                <w:b w:val="0"/>
                <w:bCs w:val="0"/>
              </w:rPr>
              <w:t>Impact evidence packs and redacted documents for publication produced</w:t>
            </w:r>
          </w:p>
        </w:tc>
      </w:tr>
      <w:tr w:rsidR="009071C6" w14:paraId="1D83AC9A" w14:textId="77777777" w:rsidTr="005175CC">
        <w:trPr>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9E467" w14:textId="77777777" w:rsidR="009071C6" w:rsidRPr="00566F0E" w:rsidRDefault="009071C6" w:rsidP="00566F0E">
            <w:pPr>
              <w:pStyle w:val="TableBody"/>
              <w:rPr>
                <w:b w:val="0"/>
                <w:bCs w:val="0"/>
              </w:rPr>
            </w:pPr>
            <w:r w:rsidRPr="00566F0E">
              <w:rPr>
                <w:b w:val="0"/>
                <w:bCs w:val="0"/>
              </w:rPr>
              <w:t>End October 2028</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C3A41" w14:textId="77777777" w:rsidR="009071C6" w:rsidRPr="00566F0E" w:rsidRDefault="009071C6" w:rsidP="00566F0E">
            <w:pPr>
              <w:pStyle w:val="TableBody"/>
              <w:rPr>
                <w:b w:val="0"/>
                <w:bCs w:val="0"/>
              </w:rPr>
            </w:pPr>
            <w:r w:rsidRPr="00566F0E">
              <w:rPr>
                <w:b w:val="0"/>
                <w:bCs w:val="0"/>
              </w:rPr>
              <w:t xml:space="preserve">Target submission date </w:t>
            </w:r>
          </w:p>
        </w:tc>
      </w:tr>
      <w:tr w:rsidR="009071C6" w14:paraId="6B435361" w14:textId="77777777" w:rsidTr="005175CC">
        <w:trPr>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815361" w14:textId="77777777" w:rsidR="009071C6" w:rsidRPr="00ED2586" w:rsidRDefault="009071C6" w:rsidP="00566F0E">
            <w:pPr>
              <w:pStyle w:val="TableBody"/>
            </w:pPr>
            <w:r w:rsidRPr="00ED2586">
              <w:t>December 31</w:t>
            </w:r>
            <w:r w:rsidRPr="00ED2586">
              <w:rPr>
                <w:vertAlign w:val="superscript"/>
              </w:rPr>
              <w:t>st</w:t>
            </w:r>
            <w:r w:rsidRPr="00ED2586">
              <w:t xml:space="preserve"> 2028</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89C5B" w14:textId="77777777" w:rsidR="009071C6" w:rsidRPr="00ED2586" w:rsidRDefault="009071C6" w:rsidP="00566F0E">
            <w:pPr>
              <w:pStyle w:val="TableBody"/>
            </w:pPr>
            <w:r w:rsidRPr="00ED2586">
              <w:t>Last date for outputs to be in the public domain</w:t>
            </w:r>
          </w:p>
        </w:tc>
      </w:tr>
    </w:tbl>
    <w:p w14:paraId="774704BC" w14:textId="77777777" w:rsidR="00840FBF" w:rsidRDefault="00840FBF">
      <w:pPr>
        <w:spacing w:before="100" w:after="100"/>
        <w:rPr>
          <w:rFonts w:eastAsia="Times New Roman"/>
          <w:sz w:val="22"/>
          <w:lang w:eastAsia="en-GB"/>
        </w:rPr>
      </w:pPr>
    </w:p>
    <w:sectPr w:rsidR="00840FBF" w:rsidSect="005D6885">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C9F90" w14:textId="77777777" w:rsidR="00434990" w:rsidRDefault="00434990">
      <w:pPr>
        <w:spacing w:after="0"/>
      </w:pPr>
      <w:r>
        <w:separator/>
      </w:r>
    </w:p>
  </w:endnote>
  <w:endnote w:type="continuationSeparator" w:id="0">
    <w:p w14:paraId="138D2702" w14:textId="77777777" w:rsidR="00434990" w:rsidRDefault="0043499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2386F" w14:textId="77777777" w:rsidR="00CB2795" w:rsidRDefault="009071C6">
    <w:pPr>
      <w:pStyle w:val="Footer"/>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w:t>
    </w:r>
    <w:r>
      <w:rPr>
        <w:b/>
        <w:bCs/>
      </w:rPr>
      <w:fldChar w:fldCharType="end"/>
    </w:r>
  </w:p>
  <w:p w14:paraId="7A5BE338" w14:textId="77777777" w:rsidR="00CB2795" w:rsidRDefault="009071C6">
    <w:pPr>
      <w:pStyle w:val="Footer"/>
    </w:pPr>
    <w:r>
      <w:t>Version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36E43" w14:textId="77777777" w:rsidR="00211704" w:rsidRDefault="00211704" w:rsidP="00211704">
    <w:pPr>
      <w:spacing w:after="0"/>
    </w:pPr>
    <w:r>
      <w:t xml:space="preserve">Page </w:t>
    </w:r>
    <w:r>
      <w:rPr>
        <w:b/>
        <w:bCs/>
      </w:rPr>
      <w:fldChar w:fldCharType="begin"/>
    </w:r>
    <w:r>
      <w:rPr>
        <w:b/>
        <w:bCs/>
      </w:rPr>
      <w:instrText xml:space="preserve"> PAGE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38</w:t>
    </w:r>
    <w:r>
      <w:rPr>
        <w:b/>
        <w:bCs/>
      </w:rPr>
      <w:fldChar w:fldCharType="end"/>
    </w:r>
  </w:p>
  <w:p w14:paraId="7029F9DF" w14:textId="77777777" w:rsidR="00211704" w:rsidRDefault="00211704" w:rsidP="00211704">
    <w:pPr>
      <w:spacing w:after="0"/>
    </w:pPr>
    <w:r>
      <w:t>Version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11049" w14:textId="77777777" w:rsidR="00CB2795" w:rsidRDefault="009071C6">
    <w:pPr>
      <w:pStyle w:val="Footer"/>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w:t>
    </w:r>
    <w:r>
      <w:rPr>
        <w:b/>
        <w:bCs/>
      </w:rPr>
      <w:fldChar w:fldCharType="end"/>
    </w:r>
  </w:p>
  <w:p w14:paraId="16EA96C4" w14:textId="77777777" w:rsidR="00CB2795" w:rsidRDefault="009071C6">
    <w:pPr>
      <w:pStyle w:val="Footer"/>
    </w:pPr>
    <w:r>
      <w:t>Version 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3E0BF" w14:textId="77777777" w:rsidR="00CB2795" w:rsidRDefault="009071C6">
    <w:pPr>
      <w:pStyle w:val="Footer"/>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w:t>
    </w:r>
    <w:r>
      <w:rPr>
        <w:b/>
        <w:bCs/>
      </w:rPr>
      <w:fldChar w:fldCharType="end"/>
    </w:r>
  </w:p>
  <w:p w14:paraId="66273888" w14:textId="2946EE8B" w:rsidR="00CB2795" w:rsidRDefault="009071C6">
    <w:pPr>
      <w:pStyle w:val="Footer"/>
    </w:pPr>
    <w:r>
      <w:t>Version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4A9EE" w14:textId="77777777" w:rsidR="00434990" w:rsidRDefault="00434990">
      <w:pPr>
        <w:spacing w:after="0"/>
      </w:pPr>
      <w:r>
        <w:rPr>
          <w:color w:val="000000"/>
        </w:rPr>
        <w:separator/>
      </w:r>
    </w:p>
  </w:footnote>
  <w:footnote w:type="continuationSeparator" w:id="0">
    <w:p w14:paraId="6DDBB81B" w14:textId="77777777" w:rsidR="00434990" w:rsidRDefault="0043499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930F7" w14:textId="207F0ECC" w:rsidR="002048A0" w:rsidRDefault="002048A0">
    <w:pPr>
      <w:pStyle w:val="Header"/>
    </w:pPr>
    <w:r>
      <w:rPr>
        <w:noProof/>
      </w:rPr>
      <w:drawing>
        <wp:inline distT="0" distB="0" distL="0" distR="0" wp14:anchorId="4567664D" wp14:editId="18C996BB">
          <wp:extent cx="2152799" cy="838797"/>
          <wp:effectExtent l="0" t="0" r="0" b="0"/>
          <wp:docPr id="831237923" name="Picture 76" descr="Research Excellence Framework 2029 logo."/>
          <wp:cNvGraphicFramePr/>
          <a:graphic xmlns:a="http://schemas.openxmlformats.org/drawingml/2006/main">
            <a:graphicData uri="http://schemas.openxmlformats.org/drawingml/2006/picture">
              <pic:pic xmlns:pic="http://schemas.openxmlformats.org/drawingml/2006/picture">
                <pic:nvPicPr>
                  <pic:cNvPr id="831237923" name="Picture 76" descr="Research Excellence Framework 2029 logo."/>
                  <pic:cNvPicPr/>
                </pic:nvPicPr>
                <pic:blipFill>
                  <a:blip r:embed="rId1"/>
                  <a:stretch>
                    <a:fillRect/>
                  </a:stretch>
                </pic:blipFill>
                <pic:spPr>
                  <a:xfrm>
                    <a:off x="0" y="0"/>
                    <a:ext cx="2152799" cy="838797"/>
                  </a:xfrm>
                  <a:prstGeom prst="rect">
                    <a:avLst/>
                  </a:prstGeom>
                  <a:noFill/>
                  <a:ln>
                    <a:noFill/>
                    <a:prstDash/>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EA41F" w14:textId="37EAF462" w:rsidR="002048A0" w:rsidRDefault="002048A0">
    <w:pPr>
      <w:pStyle w:val="Header"/>
    </w:pPr>
    <w:r>
      <w:rPr>
        <w:noProof/>
      </w:rPr>
      <w:drawing>
        <wp:inline distT="0" distB="0" distL="0" distR="0" wp14:anchorId="4BAE1324" wp14:editId="7AF72B0D">
          <wp:extent cx="2152799" cy="838797"/>
          <wp:effectExtent l="0" t="0" r="0" b="0"/>
          <wp:docPr id="20433334" name="Picture 76" descr="Research Excellence Framework 2029 logo."/>
          <wp:cNvGraphicFramePr/>
          <a:graphic xmlns:a="http://schemas.openxmlformats.org/drawingml/2006/main">
            <a:graphicData uri="http://schemas.openxmlformats.org/drawingml/2006/picture">
              <pic:pic xmlns:pic="http://schemas.openxmlformats.org/drawingml/2006/picture">
                <pic:nvPicPr>
                  <pic:cNvPr id="20433334" name="Picture 76" descr="Research Excellence Framework 2029 logo."/>
                  <pic:cNvPicPr/>
                </pic:nvPicPr>
                <pic:blipFill>
                  <a:blip r:embed="rId1"/>
                  <a:stretch>
                    <a:fillRect/>
                  </a:stretch>
                </pic:blipFill>
                <pic:spPr>
                  <a:xfrm>
                    <a:off x="0" y="0"/>
                    <a:ext cx="2152799" cy="838797"/>
                  </a:xfrm>
                  <a:prstGeom prst="rect">
                    <a:avLst/>
                  </a:prstGeom>
                  <a:noFill/>
                  <a:ln>
                    <a:noFill/>
                    <a:prstDash/>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5090C" w14:textId="372C5326" w:rsidR="00CB2795" w:rsidRDefault="009071C6">
    <w:pPr>
      <w:pStyle w:val="Header"/>
    </w:pPr>
    <w:r>
      <w:rPr>
        <w:noProof/>
      </w:rPr>
      <w:drawing>
        <wp:inline distT="0" distB="0" distL="0" distR="0" wp14:anchorId="54FE5958" wp14:editId="3CB658BD">
          <wp:extent cx="2152799" cy="838797"/>
          <wp:effectExtent l="0" t="0" r="0" b="0"/>
          <wp:docPr id="1267231878" name="Picture 76" descr="An image of the Research Excellence Framework 2029 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152799" cy="838797"/>
                  </a:xfrm>
                  <a:prstGeom prst="rect">
                    <a:avLst/>
                  </a:prstGeom>
                  <a:noFill/>
                  <a:ln>
                    <a:noFill/>
                    <a:prstDash/>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F15A9" w14:textId="3A7EBC89" w:rsidR="00CB2795" w:rsidRDefault="009071C6">
    <w:pPr>
      <w:pStyle w:val="Header"/>
    </w:pPr>
    <w:r>
      <w:rPr>
        <w:noProof/>
      </w:rPr>
      <w:drawing>
        <wp:inline distT="0" distB="0" distL="0" distR="0" wp14:anchorId="082D4F43" wp14:editId="4D466D38">
          <wp:extent cx="2152799" cy="838797"/>
          <wp:effectExtent l="0" t="0" r="0" b="0"/>
          <wp:docPr id="1406168252" name="Picture 76" descr="An image of the Research Excellence Framework 2029 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152799" cy="838797"/>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3B3A"/>
    <w:multiLevelType w:val="multilevel"/>
    <w:tmpl w:val="4628011A"/>
    <w:lvl w:ilvl="0">
      <w:start w:val="1"/>
      <w:numFmt w:val="decimal"/>
      <w:lvlText w:val="%1."/>
      <w:lvlJc w:val="left"/>
      <w:pPr>
        <w:ind w:left="720" w:hanging="360"/>
      </w:pPr>
      <w:rPr>
        <w:color w:val="000000" w:themeColor="text1"/>
      </w:rPr>
    </w:lvl>
    <w:lvl w:ilvl="1">
      <w:numFmt w:val="bullet"/>
      <w:lvlText w:val="o"/>
      <w:lvlJc w:val="left"/>
      <w:pPr>
        <w:ind w:left="1440" w:hanging="360"/>
      </w:pPr>
      <w:rPr>
        <w:rFonts w:ascii="Courier New" w:hAnsi="Courier New"/>
        <w:sz w:val="20"/>
      </w:r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1" w15:restartNumberingAfterBreak="0">
    <w:nsid w:val="015A05BB"/>
    <w:multiLevelType w:val="multilevel"/>
    <w:tmpl w:val="9F724CBC"/>
    <w:lvl w:ilvl="0">
      <w:start w:val="1"/>
      <w:numFmt w:val="none"/>
      <w:lvlText w:val="5.5.8"/>
      <w:lvlJc w:val="left"/>
      <w:pPr>
        <w:ind w:left="720" w:hanging="360"/>
      </w:pPr>
      <w:rPr>
        <w:rFonts w:hint="default"/>
      </w:rPr>
    </w:lvl>
    <w:lvl w:ilvl="1">
      <w:start w:val="1"/>
      <w:numFmt w:val="none"/>
      <w:lvlText w:val="3.5"/>
      <w:lvlJc w:val="left"/>
      <w:pPr>
        <w:ind w:left="1440" w:hanging="360"/>
      </w:pPr>
      <w:rPr>
        <w:rFonts w:hint="default"/>
      </w:rPr>
    </w:lvl>
    <w:lvl w:ilvl="2">
      <w:start w:val="1"/>
      <w:numFmt w:val="none"/>
      <w:lvlText w:val="5.5.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1A26147"/>
    <w:multiLevelType w:val="multilevel"/>
    <w:tmpl w:val="88ACBC0A"/>
    <w:lvl w:ilvl="0">
      <w:start w:val="1"/>
      <w:numFmt w:val="none"/>
      <w:lvlText w:val="3.1.7"/>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1D04123"/>
    <w:multiLevelType w:val="multilevel"/>
    <w:tmpl w:val="263067E8"/>
    <w:lvl w:ilvl="0">
      <w:start w:val="1"/>
      <w:numFmt w:val="none"/>
      <w:lvlText w:val="3.4.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none"/>
      <w:lvlText w:val="3.1.10"/>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1FB2431"/>
    <w:multiLevelType w:val="multilevel"/>
    <w:tmpl w:val="41026C5C"/>
    <w:lvl w:ilvl="0">
      <w:start w:val="4"/>
      <w:numFmt w:val="decimal"/>
      <w:lvlText w:val="%1"/>
      <w:lvlJc w:val="left"/>
      <w:pPr>
        <w:ind w:left="360" w:hanging="360"/>
      </w:pPr>
      <w:rPr>
        <w:rFonts w:eastAsia="Times New Roman"/>
        <w:b/>
        <w:sz w:val="22"/>
      </w:rPr>
    </w:lvl>
    <w:lvl w:ilvl="1">
      <w:start w:val="1"/>
      <w:numFmt w:val="decimal"/>
      <w:lvlText w:val="%1.%2"/>
      <w:lvlJc w:val="left"/>
      <w:pPr>
        <w:ind w:left="360" w:hanging="360"/>
      </w:pPr>
      <w:rPr>
        <w:rFonts w:eastAsia="Times New Roman"/>
        <w:b/>
        <w:sz w:val="22"/>
      </w:rPr>
    </w:lvl>
    <w:lvl w:ilvl="2">
      <w:start w:val="1"/>
      <w:numFmt w:val="decimal"/>
      <w:lvlText w:val="%1.%2.%3"/>
      <w:lvlJc w:val="left"/>
      <w:pPr>
        <w:ind w:left="720" w:hanging="720"/>
      </w:pPr>
      <w:rPr>
        <w:rFonts w:eastAsia="Times New Roman"/>
        <w:b w:val="0"/>
        <w:bCs/>
        <w:sz w:val="22"/>
      </w:rPr>
    </w:lvl>
    <w:lvl w:ilvl="3">
      <w:start w:val="1"/>
      <w:numFmt w:val="decimal"/>
      <w:lvlText w:val="%1.%2.%3.%4"/>
      <w:lvlJc w:val="left"/>
      <w:pPr>
        <w:ind w:left="720" w:hanging="720"/>
      </w:pPr>
      <w:rPr>
        <w:rFonts w:eastAsia="Times New Roman"/>
        <w:b/>
        <w:sz w:val="22"/>
      </w:rPr>
    </w:lvl>
    <w:lvl w:ilvl="4">
      <w:start w:val="1"/>
      <w:numFmt w:val="decimal"/>
      <w:lvlText w:val="%1.%2.%3.%4.%5"/>
      <w:lvlJc w:val="left"/>
      <w:pPr>
        <w:ind w:left="1080" w:hanging="1080"/>
      </w:pPr>
      <w:rPr>
        <w:rFonts w:eastAsia="Times New Roman"/>
        <w:b/>
        <w:sz w:val="22"/>
      </w:rPr>
    </w:lvl>
    <w:lvl w:ilvl="5">
      <w:start w:val="1"/>
      <w:numFmt w:val="decimal"/>
      <w:lvlText w:val="%1.%2.%3.%4.%5.%6"/>
      <w:lvlJc w:val="left"/>
      <w:pPr>
        <w:ind w:left="1080" w:hanging="1080"/>
      </w:pPr>
      <w:rPr>
        <w:rFonts w:eastAsia="Times New Roman"/>
        <w:b/>
        <w:sz w:val="22"/>
      </w:rPr>
    </w:lvl>
    <w:lvl w:ilvl="6">
      <w:start w:val="1"/>
      <w:numFmt w:val="decimal"/>
      <w:lvlText w:val="%1.%2.%3.%4.%5.%6.%7"/>
      <w:lvlJc w:val="left"/>
      <w:pPr>
        <w:ind w:left="1440" w:hanging="1440"/>
      </w:pPr>
      <w:rPr>
        <w:rFonts w:eastAsia="Times New Roman"/>
        <w:b/>
        <w:sz w:val="22"/>
      </w:rPr>
    </w:lvl>
    <w:lvl w:ilvl="7">
      <w:start w:val="1"/>
      <w:numFmt w:val="decimal"/>
      <w:lvlText w:val="%1.%2.%3.%4.%5.%6.%7.%8"/>
      <w:lvlJc w:val="left"/>
      <w:pPr>
        <w:ind w:left="1440" w:hanging="1440"/>
      </w:pPr>
      <w:rPr>
        <w:rFonts w:eastAsia="Times New Roman"/>
        <w:b/>
        <w:sz w:val="22"/>
      </w:rPr>
    </w:lvl>
    <w:lvl w:ilvl="8">
      <w:start w:val="1"/>
      <w:numFmt w:val="decimal"/>
      <w:lvlText w:val="%1.%2.%3.%4.%5.%6.%7.%8.%9"/>
      <w:lvlJc w:val="left"/>
      <w:pPr>
        <w:ind w:left="1800" w:hanging="1800"/>
      </w:pPr>
      <w:rPr>
        <w:rFonts w:eastAsia="Times New Roman"/>
        <w:b/>
        <w:sz w:val="22"/>
      </w:rPr>
    </w:lvl>
  </w:abstractNum>
  <w:abstractNum w:abstractNumId="5" w15:restartNumberingAfterBreak="0">
    <w:nsid w:val="02011FE3"/>
    <w:multiLevelType w:val="multilevel"/>
    <w:tmpl w:val="DE3EA9AA"/>
    <w:lvl w:ilvl="0">
      <w:start w:val="1"/>
      <w:numFmt w:val="none"/>
      <w:lvlText w:val="4.1.1"/>
      <w:lvlJc w:val="left"/>
      <w:pPr>
        <w:ind w:left="720" w:hanging="360"/>
      </w:pPr>
      <w:rPr>
        <w:rFonts w:hint="default"/>
      </w:rPr>
    </w:lvl>
    <w:lvl w:ilvl="1">
      <w:start w:val="1"/>
      <w:numFmt w:val="none"/>
      <w:lvlText w:val="3.5"/>
      <w:lvlJc w:val="left"/>
      <w:pPr>
        <w:ind w:left="1440" w:hanging="360"/>
      </w:pPr>
      <w:rPr>
        <w:rFonts w:hint="default"/>
      </w:rPr>
    </w:lvl>
    <w:lvl w:ilvl="2">
      <w:start w:val="1"/>
      <w:numFmt w:val="none"/>
      <w:lvlText w:val="3.1.10"/>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2826B8E"/>
    <w:multiLevelType w:val="hybridMultilevel"/>
    <w:tmpl w:val="FBEAC4A2"/>
    <w:lvl w:ilvl="0" w:tplc="5FE06F82">
      <w:start w:val="3"/>
      <w:numFmt w:val="lowerRoman"/>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3515DE8"/>
    <w:multiLevelType w:val="multilevel"/>
    <w:tmpl w:val="CA549294"/>
    <w:lvl w:ilvl="0">
      <w:start w:val="1"/>
      <w:numFmt w:val="decimal"/>
      <w:lvlText w:val="%1."/>
      <w:lvlJc w:val="left"/>
      <w:pPr>
        <w:ind w:left="720" w:hanging="360"/>
      </w:pPr>
      <w:rPr>
        <w:b w:val="0"/>
        <w:bCs w:val="0"/>
      </w:rPr>
    </w:lvl>
    <w:lvl w:ilvl="1">
      <w:numFmt w:val="bullet"/>
      <w:lvlText w:val="o"/>
      <w:lvlJc w:val="left"/>
      <w:pPr>
        <w:ind w:left="1440" w:hanging="360"/>
      </w:pPr>
      <w:rPr>
        <w:rFonts w:ascii="Courier New" w:hAnsi="Courier New" w:cs="Courier New"/>
      </w:r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8" w15:restartNumberingAfterBreak="0">
    <w:nsid w:val="0469541B"/>
    <w:multiLevelType w:val="hybridMultilevel"/>
    <w:tmpl w:val="FC44625A"/>
    <w:lvl w:ilvl="0" w:tplc="854AE74E">
      <w:start w:val="1"/>
      <w:numFmt w:val="decimal"/>
      <w:lvlText w:val="%1.1.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4EC11F0"/>
    <w:multiLevelType w:val="multilevel"/>
    <w:tmpl w:val="FF421270"/>
    <w:lvl w:ilvl="0">
      <w:start w:val="1"/>
      <w:numFmt w:val="none"/>
      <w:lvlText w:val="3.4.6"/>
      <w:lvlJc w:val="left"/>
      <w:pPr>
        <w:ind w:left="720" w:hanging="360"/>
      </w:pPr>
      <w:rPr>
        <w:rFonts w:hint="default"/>
      </w:rPr>
    </w:lvl>
    <w:lvl w:ilvl="1">
      <w:start w:val="1"/>
      <w:numFmt w:val="lowerLetter"/>
      <w:lvlText w:val="%2."/>
      <w:lvlJc w:val="left"/>
      <w:pPr>
        <w:ind w:left="1440" w:hanging="360"/>
      </w:pPr>
      <w:rPr>
        <w:rFonts w:hint="default"/>
      </w:rPr>
    </w:lvl>
    <w:lvl w:ilvl="2">
      <w:start w:val="1"/>
      <w:numFmt w:val="none"/>
      <w:lvlText w:val="3.1.10"/>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060E0927"/>
    <w:multiLevelType w:val="multilevel"/>
    <w:tmpl w:val="A8FC56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07C428C5"/>
    <w:multiLevelType w:val="multilevel"/>
    <w:tmpl w:val="8674B2E2"/>
    <w:lvl w:ilvl="0">
      <w:start w:val="1"/>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08543F46"/>
    <w:multiLevelType w:val="multilevel"/>
    <w:tmpl w:val="9B34AB98"/>
    <w:lvl w:ilvl="0">
      <w:start w:val="1"/>
      <w:numFmt w:val="none"/>
      <w:lvlText w:val="5.6.1"/>
      <w:lvlJc w:val="left"/>
      <w:pPr>
        <w:ind w:left="720" w:hanging="360"/>
      </w:pPr>
      <w:rPr>
        <w:rFonts w:hint="default"/>
      </w:rPr>
    </w:lvl>
    <w:lvl w:ilvl="1">
      <w:start w:val="1"/>
      <w:numFmt w:val="none"/>
      <w:lvlText w:val="3.5"/>
      <w:lvlJc w:val="left"/>
      <w:pPr>
        <w:ind w:left="1440" w:hanging="360"/>
      </w:pPr>
      <w:rPr>
        <w:rFonts w:hint="default"/>
      </w:rPr>
    </w:lvl>
    <w:lvl w:ilvl="2">
      <w:start w:val="1"/>
      <w:numFmt w:val="none"/>
      <w:lvlText w:val="5.6.1"/>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B451080"/>
    <w:multiLevelType w:val="multilevel"/>
    <w:tmpl w:val="4314CB16"/>
    <w:lvl w:ilvl="0">
      <w:start w:val="1"/>
      <w:numFmt w:val="none"/>
      <w:lvlText w:val="4.1.6"/>
      <w:lvlJc w:val="left"/>
      <w:pPr>
        <w:ind w:left="720" w:hanging="360"/>
      </w:pPr>
      <w:rPr>
        <w:rFonts w:hint="default"/>
      </w:rPr>
    </w:lvl>
    <w:lvl w:ilvl="1">
      <w:start w:val="1"/>
      <w:numFmt w:val="none"/>
      <w:lvlText w:val="3.5"/>
      <w:lvlJc w:val="left"/>
      <w:pPr>
        <w:ind w:left="1440" w:hanging="360"/>
      </w:pPr>
      <w:rPr>
        <w:rFonts w:hint="default"/>
      </w:rPr>
    </w:lvl>
    <w:lvl w:ilvl="2">
      <w:start w:val="1"/>
      <w:numFmt w:val="none"/>
      <w:lvlText w:val="3.1.10"/>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DE37B59"/>
    <w:multiLevelType w:val="hybridMultilevel"/>
    <w:tmpl w:val="8B48AE26"/>
    <w:lvl w:ilvl="0" w:tplc="2F4A8A48">
      <w:start w:val="1"/>
      <w:numFmt w:val="bullet"/>
      <w:lvlText w:val="○"/>
      <w:lvlJc w:val="left"/>
      <w:pPr>
        <w:ind w:left="720" w:hanging="360"/>
      </w:pPr>
      <w:rPr>
        <w:rFonts w:ascii="Courier New" w:hAnsi="Courier New" w:hint="default"/>
        <w:u w:color="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E4938A4"/>
    <w:multiLevelType w:val="multilevel"/>
    <w:tmpl w:val="5E0E97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0E935956"/>
    <w:multiLevelType w:val="multilevel"/>
    <w:tmpl w:val="8076936C"/>
    <w:lvl w:ilvl="0">
      <w:start w:val="1"/>
      <w:numFmt w:val="none"/>
      <w:lvlText w:val="3.5"/>
      <w:lvlJc w:val="left"/>
      <w:pPr>
        <w:ind w:left="720" w:hanging="360"/>
      </w:pPr>
      <w:rPr>
        <w:rFonts w:hint="default"/>
      </w:rPr>
    </w:lvl>
    <w:lvl w:ilvl="1">
      <w:start w:val="1"/>
      <w:numFmt w:val="none"/>
      <w:lvlText w:val="3.5"/>
      <w:lvlJc w:val="left"/>
      <w:pPr>
        <w:ind w:left="1440" w:hanging="360"/>
      </w:pPr>
      <w:rPr>
        <w:rFonts w:hint="default"/>
        <w:b/>
        <w:bCs/>
      </w:rPr>
    </w:lvl>
    <w:lvl w:ilvl="2">
      <w:start w:val="1"/>
      <w:numFmt w:val="none"/>
      <w:lvlText w:val="3.1.10"/>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0F893894"/>
    <w:multiLevelType w:val="hybridMultilevel"/>
    <w:tmpl w:val="910C1C66"/>
    <w:lvl w:ilvl="0" w:tplc="6E3A3340">
      <w:start w:val="1"/>
      <w:numFmt w:val="decimal"/>
      <w:lvlText w:val="%1.2.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29D31B7"/>
    <w:multiLevelType w:val="multilevel"/>
    <w:tmpl w:val="D200070C"/>
    <w:lvl w:ilvl="0">
      <w:start w:val="1"/>
      <w:numFmt w:val="none"/>
      <w:lvlText w:val="4.1.7.3"/>
      <w:lvlJc w:val="left"/>
      <w:pPr>
        <w:ind w:left="720" w:hanging="360"/>
      </w:pPr>
      <w:rPr>
        <w:rFonts w:hint="default"/>
      </w:rPr>
    </w:lvl>
    <w:lvl w:ilvl="1">
      <w:start w:val="1"/>
      <w:numFmt w:val="none"/>
      <w:lvlText w:val="3.5"/>
      <w:lvlJc w:val="left"/>
      <w:pPr>
        <w:ind w:left="1440" w:hanging="360"/>
      </w:pPr>
      <w:rPr>
        <w:rFonts w:hint="default"/>
      </w:rPr>
    </w:lvl>
    <w:lvl w:ilvl="2">
      <w:start w:val="1"/>
      <w:numFmt w:val="none"/>
      <w:lvlText w:val="3.1.10"/>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1608726C"/>
    <w:multiLevelType w:val="multilevel"/>
    <w:tmpl w:val="C4EE5A50"/>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164B69EA"/>
    <w:multiLevelType w:val="multilevel"/>
    <w:tmpl w:val="F1C22220"/>
    <w:lvl w:ilvl="0">
      <w:start w:val="5"/>
      <w:numFmt w:val="decimal"/>
      <w:lvlText w:val="%1"/>
      <w:lvlJc w:val="left"/>
      <w:pPr>
        <w:ind w:left="480" w:hanging="480"/>
      </w:pPr>
      <w:rPr>
        <w:rFonts w:eastAsia="Times New Roman"/>
        <w:sz w:val="22"/>
      </w:rPr>
    </w:lvl>
    <w:lvl w:ilvl="1">
      <w:start w:val="3"/>
      <w:numFmt w:val="decimal"/>
      <w:lvlText w:val="%1.%2"/>
      <w:lvlJc w:val="left"/>
      <w:pPr>
        <w:ind w:left="480" w:hanging="480"/>
      </w:pPr>
      <w:rPr>
        <w:rFonts w:eastAsia="Times New Roman"/>
        <w:sz w:val="22"/>
      </w:rPr>
    </w:lvl>
    <w:lvl w:ilvl="2">
      <w:start w:val="1"/>
      <w:numFmt w:val="decimal"/>
      <w:lvlText w:val="%1.%2.%3"/>
      <w:lvlJc w:val="left"/>
      <w:pPr>
        <w:ind w:left="720" w:hanging="720"/>
      </w:pPr>
      <w:rPr>
        <w:rFonts w:eastAsia="Times New Roman"/>
        <w:sz w:val="22"/>
      </w:rPr>
    </w:lvl>
    <w:lvl w:ilvl="3">
      <w:start w:val="1"/>
      <w:numFmt w:val="decimal"/>
      <w:lvlText w:val="%1.%2.%3.%4"/>
      <w:lvlJc w:val="left"/>
      <w:pPr>
        <w:ind w:left="720" w:hanging="720"/>
      </w:pPr>
      <w:rPr>
        <w:rFonts w:eastAsia="Times New Roman"/>
        <w:sz w:val="22"/>
      </w:rPr>
    </w:lvl>
    <w:lvl w:ilvl="4">
      <w:start w:val="1"/>
      <w:numFmt w:val="decimal"/>
      <w:lvlText w:val="%1.%2.%3.%4.%5"/>
      <w:lvlJc w:val="left"/>
      <w:pPr>
        <w:ind w:left="1080" w:hanging="1080"/>
      </w:pPr>
      <w:rPr>
        <w:rFonts w:eastAsia="Times New Roman"/>
        <w:sz w:val="22"/>
      </w:rPr>
    </w:lvl>
    <w:lvl w:ilvl="5">
      <w:start w:val="1"/>
      <w:numFmt w:val="decimal"/>
      <w:lvlText w:val="%1.%2.%3.%4.%5.%6"/>
      <w:lvlJc w:val="left"/>
      <w:pPr>
        <w:ind w:left="1080" w:hanging="1080"/>
      </w:pPr>
      <w:rPr>
        <w:rFonts w:eastAsia="Times New Roman"/>
        <w:sz w:val="22"/>
      </w:rPr>
    </w:lvl>
    <w:lvl w:ilvl="6">
      <w:start w:val="1"/>
      <w:numFmt w:val="decimal"/>
      <w:lvlText w:val="%1.%2.%3.%4.%5.%6.%7"/>
      <w:lvlJc w:val="left"/>
      <w:pPr>
        <w:ind w:left="1440" w:hanging="1440"/>
      </w:pPr>
      <w:rPr>
        <w:rFonts w:eastAsia="Times New Roman"/>
        <w:sz w:val="22"/>
      </w:rPr>
    </w:lvl>
    <w:lvl w:ilvl="7">
      <w:start w:val="1"/>
      <w:numFmt w:val="decimal"/>
      <w:lvlText w:val="%1.%2.%3.%4.%5.%6.%7.%8"/>
      <w:lvlJc w:val="left"/>
      <w:pPr>
        <w:ind w:left="1440" w:hanging="1440"/>
      </w:pPr>
      <w:rPr>
        <w:rFonts w:eastAsia="Times New Roman"/>
        <w:sz w:val="22"/>
      </w:rPr>
    </w:lvl>
    <w:lvl w:ilvl="8">
      <w:start w:val="1"/>
      <w:numFmt w:val="decimal"/>
      <w:lvlText w:val="%1.%2.%3.%4.%5.%6.%7.%8.%9"/>
      <w:lvlJc w:val="left"/>
      <w:pPr>
        <w:ind w:left="1800" w:hanging="1800"/>
      </w:pPr>
      <w:rPr>
        <w:rFonts w:eastAsia="Times New Roman"/>
        <w:sz w:val="22"/>
      </w:rPr>
    </w:lvl>
  </w:abstractNum>
  <w:abstractNum w:abstractNumId="21" w15:restartNumberingAfterBreak="0">
    <w:nsid w:val="169459F8"/>
    <w:multiLevelType w:val="multilevel"/>
    <w:tmpl w:val="7B34036C"/>
    <w:lvl w:ilvl="0">
      <w:start w:val="3"/>
      <w:numFmt w:val="decimal"/>
      <w:lvlText w:val="%1"/>
      <w:lvlJc w:val="left"/>
      <w:pPr>
        <w:ind w:left="360" w:hanging="360"/>
      </w:pPr>
      <w:rPr>
        <w:rFonts w:eastAsia="Times New Roman"/>
        <w:b/>
        <w:color w:val="002060"/>
        <w:sz w:val="22"/>
      </w:rPr>
    </w:lvl>
    <w:lvl w:ilvl="1">
      <w:start w:val="2"/>
      <w:numFmt w:val="decimal"/>
      <w:lvlText w:val="%1.%2"/>
      <w:lvlJc w:val="left"/>
      <w:pPr>
        <w:ind w:left="360" w:hanging="360"/>
      </w:pPr>
      <w:rPr>
        <w:rFonts w:eastAsia="Times New Roman"/>
        <w:b/>
        <w:color w:val="auto"/>
        <w:sz w:val="22"/>
      </w:rPr>
    </w:lvl>
    <w:lvl w:ilvl="2">
      <w:start w:val="1"/>
      <w:numFmt w:val="decimal"/>
      <w:lvlText w:val="%1.%2.%3"/>
      <w:lvlJc w:val="left"/>
      <w:pPr>
        <w:ind w:left="720" w:hanging="720"/>
      </w:pPr>
      <w:rPr>
        <w:rFonts w:eastAsia="Times New Roman"/>
        <w:b w:val="0"/>
        <w:bCs/>
        <w:color w:val="auto"/>
        <w:sz w:val="22"/>
      </w:rPr>
    </w:lvl>
    <w:lvl w:ilvl="3">
      <w:start w:val="1"/>
      <w:numFmt w:val="decimal"/>
      <w:lvlText w:val="%1.%2.%3.%4"/>
      <w:lvlJc w:val="left"/>
      <w:pPr>
        <w:ind w:left="720" w:hanging="720"/>
      </w:pPr>
      <w:rPr>
        <w:rFonts w:eastAsia="Times New Roman"/>
        <w:b/>
        <w:color w:val="002060"/>
        <w:sz w:val="22"/>
      </w:rPr>
    </w:lvl>
    <w:lvl w:ilvl="4">
      <w:start w:val="1"/>
      <w:numFmt w:val="decimal"/>
      <w:lvlText w:val="%1.%2.%3.%4.%5"/>
      <w:lvlJc w:val="left"/>
      <w:pPr>
        <w:ind w:left="1080" w:hanging="1080"/>
      </w:pPr>
      <w:rPr>
        <w:rFonts w:eastAsia="Times New Roman"/>
        <w:b/>
        <w:color w:val="002060"/>
        <w:sz w:val="22"/>
      </w:rPr>
    </w:lvl>
    <w:lvl w:ilvl="5">
      <w:start w:val="1"/>
      <w:numFmt w:val="decimal"/>
      <w:lvlText w:val="%1.%2.%3.%4.%5.%6"/>
      <w:lvlJc w:val="left"/>
      <w:pPr>
        <w:ind w:left="1080" w:hanging="1080"/>
      </w:pPr>
      <w:rPr>
        <w:rFonts w:eastAsia="Times New Roman"/>
        <w:b/>
        <w:color w:val="002060"/>
        <w:sz w:val="22"/>
      </w:rPr>
    </w:lvl>
    <w:lvl w:ilvl="6">
      <w:start w:val="1"/>
      <w:numFmt w:val="decimal"/>
      <w:lvlText w:val="%1.%2.%3.%4.%5.%6.%7"/>
      <w:lvlJc w:val="left"/>
      <w:pPr>
        <w:ind w:left="1440" w:hanging="1440"/>
      </w:pPr>
      <w:rPr>
        <w:rFonts w:eastAsia="Times New Roman"/>
        <w:b/>
        <w:color w:val="002060"/>
        <w:sz w:val="22"/>
      </w:rPr>
    </w:lvl>
    <w:lvl w:ilvl="7">
      <w:start w:val="1"/>
      <w:numFmt w:val="decimal"/>
      <w:lvlText w:val="%1.%2.%3.%4.%5.%6.%7.%8"/>
      <w:lvlJc w:val="left"/>
      <w:pPr>
        <w:ind w:left="1440" w:hanging="1440"/>
      </w:pPr>
      <w:rPr>
        <w:rFonts w:eastAsia="Times New Roman"/>
        <w:b/>
        <w:color w:val="002060"/>
        <w:sz w:val="22"/>
      </w:rPr>
    </w:lvl>
    <w:lvl w:ilvl="8">
      <w:start w:val="1"/>
      <w:numFmt w:val="decimal"/>
      <w:lvlText w:val="%1.%2.%3.%4.%5.%6.%7.%8.%9"/>
      <w:lvlJc w:val="left"/>
      <w:pPr>
        <w:ind w:left="1800" w:hanging="1800"/>
      </w:pPr>
      <w:rPr>
        <w:rFonts w:eastAsia="Times New Roman"/>
        <w:b/>
        <w:color w:val="002060"/>
        <w:sz w:val="22"/>
      </w:rPr>
    </w:lvl>
  </w:abstractNum>
  <w:abstractNum w:abstractNumId="22" w15:restartNumberingAfterBreak="0">
    <w:nsid w:val="176377ED"/>
    <w:multiLevelType w:val="multilevel"/>
    <w:tmpl w:val="19BA4010"/>
    <w:lvl w:ilvl="0">
      <w:start w:val="1"/>
      <w:numFmt w:val="none"/>
      <w:lvlText w:val="1.2.15"/>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176E7B66"/>
    <w:multiLevelType w:val="multilevel"/>
    <w:tmpl w:val="C54A4832"/>
    <w:lvl w:ilvl="0">
      <w:start w:val="1"/>
      <w:numFmt w:val="decimal"/>
      <w:lvlText w:val="%1.2.2"/>
      <w:lvlJc w:val="left"/>
      <w:pPr>
        <w:ind w:left="720" w:hanging="360"/>
      </w:pPr>
      <w:rPr>
        <w:rFonts w:hint="default"/>
      </w:rPr>
    </w:lvl>
    <w:lvl w:ilvl="1">
      <w:start w:val="1"/>
      <w:numFmt w:val="lowerLetter"/>
      <w:lvlText w:val="%2."/>
      <w:lvlJc w:val="left"/>
      <w:pPr>
        <w:ind w:left="1440" w:hanging="360"/>
      </w:pPr>
      <w:rPr>
        <w:rFonts w:hint="default"/>
      </w:rPr>
    </w:lvl>
    <w:lvl w:ilvl="2">
      <w:start w:val="1"/>
      <w:numFmt w:val="none"/>
      <w:lvlText w:val="3.1.9"/>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1C121188"/>
    <w:multiLevelType w:val="multilevel"/>
    <w:tmpl w:val="8D58E2C6"/>
    <w:lvl w:ilvl="0">
      <w:start w:val="1"/>
      <w:numFmt w:val="none"/>
      <w:lvlText w:val="4.1.8"/>
      <w:lvlJc w:val="left"/>
      <w:pPr>
        <w:ind w:left="720" w:hanging="360"/>
      </w:pPr>
      <w:rPr>
        <w:rFonts w:hint="default"/>
      </w:rPr>
    </w:lvl>
    <w:lvl w:ilvl="1">
      <w:start w:val="1"/>
      <w:numFmt w:val="none"/>
      <w:lvlText w:val="3.5"/>
      <w:lvlJc w:val="left"/>
      <w:pPr>
        <w:ind w:left="1440" w:hanging="360"/>
      </w:pPr>
      <w:rPr>
        <w:rFonts w:hint="default"/>
      </w:rPr>
    </w:lvl>
    <w:lvl w:ilvl="2">
      <w:start w:val="1"/>
      <w:numFmt w:val="none"/>
      <w:lvlText w:val="3.1.10"/>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1E1A785E"/>
    <w:multiLevelType w:val="multilevel"/>
    <w:tmpl w:val="96E67FA0"/>
    <w:lvl w:ilvl="0">
      <w:start w:val="1"/>
      <w:numFmt w:val="none"/>
      <w:lvlText w:val="3.1.10"/>
      <w:lvlJc w:val="left"/>
      <w:pPr>
        <w:ind w:left="720" w:hanging="360"/>
      </w:pPr>
      <w:rPr>
        <w:rFonts w:hint="default"/>
      </w:rPr>
    </w:lvl>
    <w:lvl w:ilvl="1">
      <w:start w:val="1"/>
      <w:numFmt w:val="lowerLetter"/>
      <w:lvlText w:val="%2."/>
      <w:lvlJc w:val="left"/>
      <w:pPr>
        <w:ind w:left="1440" w:hanging="360"/>
      </w:pPr>
      <w:rPr>
        <w:rFonts w:hint="default"/>
      </w:rPr>
    </w:lvl>
    <w:lvl w:ilvl="2">
      <w:start w:val="1"/>
      <w:numFmt w:val="none"/>
      <w:lvlText w:val="3.1.10"/>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1E7820CF"/>
    <w:multiLevelType w:val="multilevel"/>
    <w:tmpl w:val="1CD09CEE"/>
    <w:lvl w:ilvl="0">
      <w:start w:val="1"/>
      <w:numFmt w:val="none"/>
      <w:lvlText w:val="5.5.6"/>
      <w:lvlJc w:val="left"/>
      <w:pPr>
        <w:ind w:left="720" w:hanging="360"/>
      </w:pPr>
      <w:rPr>
        <w:rFonts w:hint="default"/>
      </w:rPr>
    </w:lvl>
    <w:lvl w:ilvl="1">
      <w:start w:val="1"/>
      <w:numFmt w:val="none"/>
      <w:lvlText w:val="3.5"/>
      <w:lvlJc w:val="left"/>
      <w:pPr>
        <w:ind w:left="1440" w:hanging="360"/>
      </w:pPr>
      <w:rPr>
        <w:rFonts w:hint="default"/>
      </w:rPr>
    </w:lvl>
    <w:lvl w:ilvl="2">
      <w:start w:val="1"/>
      <w:numFmt w:val="none"/>
      <w:lvlText w:val="5.5.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2186387E"/>
    <w:multiLevelType w:val="multilevel"/>
    <w:tmpl w:val="32404C98"/>
    <w:lvl w:ilvl="0">
      <w:start w:val="1"/>
      <w:numFmt w:val="none"/>
      <w:lvlText w:val="3.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none"/>
      <w:lvlText w:val="3.1.10"/>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22484A87"/>
    <w:multiLevelType w:val="multilevel"/>
    <w:tmpl w:val="1EA2AB96"/>
    <w:lvl w:ilvl="0">
      <w:start w:val="1"/>
      <w:numFmt w:val="none"/>
      <w:lvlText w:val="5.5.10"/>
      <w:lvlJc w:val="left"/>
      <w:pPr>
        <w:ind w:left="720" w:hanging="360"/>
      </w:pPr>
      <w:rPr>
        <w:rFonts w:hint="default"/>
      </w:rPr>
    </w:lvl>
    <w:lvl w:ilvl="1">
      <w:start w:val="1"/>
      <w:numFmt w:val="none"/>
      <w:lvlText w:val="3.5"/>
      <w:lvlJc w:val="left"/>
      <w:pPr>
        <w:ind w:left="1440" w:hanging="360"/>
      </w:pPr>
      <w:rPr>
        <w:rFonts w:hint="default"/>
      </w:rPr>
    </w:lvl>
    <w:lvl w:ilvl="2">
      <w:start w:val="1"/>
      <w:numFmt w:val="none"/>
      <w:lvlText w:val="5.5.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24190A70"/>
    <w:multiLevelType w:val="multilevel"/>
    <w:tmpl w:val="39167FDE"/>
    <w:lvl w:ilvl="0">
      <w:start w:val="1"/>
      <w:numFmt w:val="decimal"/>
      <w:lvlText w:val="%1.1.1.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24976FBF"/>
    <w:multiLevelType w:val="multilevel"/>
    <w:tmpl w:val="7C5C4B5A"/>
    <w:lvl w:ilvl="0">
      <w:start w:val="3"/>
      <w:numFmt w:val="decimal"/>
      <w:lvlText w:val="%1"/>
      <w:lvlJc w:val="left"/>
      <w:pPr>
        <w:ind w:left="360" w:hanging="360"/>
      </w:pPr>
      <w:rPr>
        <w:b/>
        <w:sz w:val="22"/>
      </w:rPr>
    </w:lvl>
    <w:lvl w:ilvl="1">
      <w:start w:val="4"/>
      <w:numFmt w:val="decimal"/>
      <w:lvlText w:val="%1.%2"/>
      <w:lvlJc w:val="left"/>
      <w:pPr>
        <w:ind w:left="360" w:hanging="360"/>
      </w:pPr>
      <w:rPr>
        <w:b/>
        <w:sz w:val="22"/>
      </w:rPr>
    </w:lvl>
    <w:lvl w:ilvl="2">
      <w:start w:val="1"/>
      <w:numFmt w:val="decimal"/>
      <w:lvlText w:val="%1.%2.%3"/>
      <w:lvlJc w:val="left"/>
      <w:pPr>
        <w:ind w:left="720" w:hanging="720"/>
      </w:pPr>
      <w:rPr>
        <w:b/>
        <w:sz w:val="22"/>
      </w:rPr>
    </w:lvl>
    <w:lvl w:ilvl="3">
      <w:start w:val="1"/>
      <w:numFmt w:val="decimal"/>
      <w:lvlText w:val="%1.%2.%3.%4"/>
      <w:lvlJc w:val="left"/>
      <w:pPr>
        <w:ind w:left="720" w:hanging="720"/>
      </w:pPr>
      <w:rPr>
        <w:b/>
        <w:sz w:val="22"/>
      </w:rPr>
    </w:lvl>
    <w:lvl w:ilvl="4">
      <w:start w:val="1"/>
      <w:numFmt w:val="decimal"/>
      <w:lvlText w:val="%1.%2.%3.%4.%5"/>
      <w:lvlJc w:val="left"/>
      <w:pPr>
        <w:ind w:left="1080" w:hanging="1080"/>
      </w:pPr>
      <w:rPr>
        <w:b/>
        <w:sz w:val="22"/>
      </w:rPr>
    </w:lvl>
    <w:lvl w:ilvl="5">
      <w:start w:val="1"/>
      <w:numFmt w:val="decimal"/>
      <w:lvlText w:val="%1.%2.%3.%4.%5.%6"/>
      <w:lvlJc w:val="left"/>
      <w:pPr>
        <w:ind w:left="1080" w:hanging="1080"/>
      </w:pPr>
      <w:rPr>
        <w:b/>
        <w:sz w:val="22"/>
      </w:rPr>
    </w:lvl>
    <w:lvl w:ilvl="6">
      <w:start w:val="1"/>
      <w:numFmt w:val="decimal"/>
      <w:lvlText w:val="%1.%2.%3.%4.%5.%6.%7"/>
      <w:lvlJc w:val="left"/>
      <w:pPr>
        <w:ind w:left="1440" w:hanging="1440"/>
      </w:pPr>
      <w:rPr>
        <w:b/>
        <w:sz w:val="22"/>
      </w:rPr>
    </w:lvl>
    <w:lvl w:ilvl="7">
      <w:start w:val="1"/>
      <w:numFmt w:val="decimal"/>
      <w:lvlText w:val="%1.%2.%3.%4.%5.%6.%7.%8"/>
      <w:lvlJc w:val="left"/>
      <w:pPr>
        <w:ind w:left="1440" w:hanging="1440"/>
      </w:pPr>
      <w:rPr>
        <w:b/>
        <w:sz w:val="22"/>
      </w:rPr>
    </w:lvl>
    <w:lvl w:ilvl="8">
      <w:start w:val="1"/>
      <w:numFmt w:val="decimal"/>
      <w:lvlText w:val="%1.%2.%3.%4.%5.%6.%7.%8.%9"/>
      <w:lvlJc w:val="left"/>
      <w:pPr>
        <w:ind w:left="1800" w:hanging="1800"/>
      </w:pPr>
      <w:rPr>
        <w:b/>
        <w:sz w:val="22"/>
      </w:rPr>
    </w:lvl>
  </w:abstractNum>
  <w:abstractNum w:abstractNumId="31" w15:restartNumberingAfterBreak="0">
    <w:nsid w:val="24A57571"/>
    <w:multiLevelType w:val="hybridMultilevel"/>
    <w:tmpl w:val="900A3ECC"/>
    <w:lvl w:ilvl="0" w:tplc="FFFFFFFF">
      <w:start w:val="1"/>
      <w:numFmt w:val="lowerRoman"/>
      <w:lvlText w:val="(%1)"/>
      <w:lvlJc w:val="left"/>
      <w:pPr>
        <w:ind w:left="720" w:hanging="360"/>
      </w:pPr>
      <w:rPr>
        <w:rFonts w:hint="default"/>
      </w:rPr>
    </w:lvl>
    <w:lvl w:ilvl="1" w:tplc="410A89D4">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B786234"/>
    <w:multiLevelType w:val="multilevel"/>
    <w:tmpl w:val="72F49006"/>
    <w:lvl w:ilvl="0">
      <w:start w:val="1"/>
      <w:numFmt w:val="none"/>
      <w:lvlText w:val="1.1.3.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2E617396"/>
    <w:multiLevelType w:val="multilevel"/>
    <w:tmpl w:val="623C09A2"/>
    <w:lvl w:ilvl="0">
      <w:start w:val="1"/>
      <w:numFmt w:val="none"/>
      <w:lvlText w:val="1.1.1.2"/>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2EEF302A"/>
    <w:multiLevelType w:val="multilevel"/>
    <w:tmpl w:val="0532B7EC"/>
    <w:lvl w:ilvl="0">
      <w:start w:val="1"/>
      <w:numFmt w:val="none"/>
      <w:lvlText w:val="1.2.1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31861360"/>
    <w:multiLevelType w:val="multilevel"/>
    <w:tmpl w:val="97A404A4"/>
    <w:lvl w:ilvl="0">
      <w:start w:val="1"/>
      <w:numFmt w:val="none"/>
      <w:lvlText w:val="5.5.7"/>
      <w:lvlJc w:val="left"/>
      <w:pPr>
        <w:ind w:left="720" w:hanging="360"/>
      </w:pPr>
      <w:rPr>
        <w:rFonts w:hint="default"/>
      </w:rPr>
    </w:lvl>
    <w:lvl w:ilvl="1">
      <w:start w:val="1"/>
      <w:numFmt w:val="none"/>
      <w:lvlText w:val="3.5"/>
      <w:lvlJc w:val="left"/>
      <w:pPr>
        <w:ind w:left="1440" w:hanging="360"/>
      </w:pPr>
      <w:rPr>
        <w:rFonts w:hint="default"/>
      </w:rPr>
    </w:lvl>
    <w:lvl w:ilvl="2">
      <w:start w:val="1"/>
      <w:numFmt w:val="none"/>
      <w:lvlText w:val="5.5.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2A06A3D"/>
    <w:multiLevelType w:val="multilevel"/>
    <w:tmpl w:val="F8F6992C"/>
    <w:lvl w:ilvl="0">
      <w:start w:val="1"/>
      <w:numFmt w:val="decimal"/>
      <w:lvlText w:val="%1.3.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34363313"/>
    <w:multiLevelType w:val="multilevel"/>
    <w:tmpl w:val="5AF4CD86"/>
    <w:lvl w:ilvl="0">
      <w:start w:val="1"/>
      <w:numFmt w:val="none"/>
      <w:lvlText w:val="1.1.3.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350834AF"/>
    <w:multiLevelType w:val="multilevel"/>
    <w:tmpl w:val="AFEEDCE6"/>
    <w:lvl w:ilvl="0">
      <w:start w:val="1"/>
      <w:numFmt w:val="none"/>
      <w:lvlText w:val="1.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36C56F23"/>
    <w:multiLevelType w:val="multilevel"/>
    <w:tmpl w:val="A704D3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38E320AC"/>
    <w:multiLevelType w:val="multilevel"/>
    <w:tmpl w:val="6B900EE4"/>
    <w:lvl w:ilvl="0">
      <w:start w:val="1"/>
      <w:numFmt w:val="none"/>
      <w:lvlText w:val="1.2.12"/>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39744FA8"/>
    <w:multiLevelType w:val="multilevel"/>
    <w:tmpl w:val="21A653F6"/>
    <w:lvl w:ilvl="0">
      <w:start w:val="1"/>
      <w:numFmt w:val="decimal"/>
      <w:lvlText w:val="%1"/>
      <w:lvlJc w:val="left"/>
      <w:pPr>
        <w:ind w:left="660" w:hanging="660"/>
      </w:pPr>
      <w:rPr>
        <w:rFonts w:ascii="Arial" w:hAnsi="Arial" w:cs="Arial" w:hint="default"/>
        <w:color w:val="auto"/>
        <w:sz w:val="22"/>
      </w:rPr>
    </w:lvl>
    <w:lvl w:ilvl="1">
      <w:start w:val="1"/>
      <w:numFmt w:val="decimal"/>
      <w:lvlText w:val="%1.%2"/>
      <w:lvlJc w:val="left"/>
      <w:pPr>
        <w:ind w:left="660" w:hanging="660"/>
      </w:pPr>
      <w:rPr>
        <w:rFonts w:ascii="Arial" w:hAnsi="Arial" w:cs="Arial" w:hint="default"/>
        <w:color w:val="auto"/>
        <w:sz w:val="22"/>
      </w:rPr>
    </w:lvl>
    <w:lvl w:ilvl="2">
      <w:start w:val="2"/>
      <w:numFmt w:val="decimal"/>
      <w:lvlText w:val="%1.%2.%3"/>
      <w:lvlJc w:val="left"/>
      <w:pPr>
        <w:ind w:left="720" w:hanging="720"/>
      </w:pPr>
      <w:rPr>
        <w:rFonts w:ascii="Arial" w:hAnsi="Arial" w:cs="Arial" w:hint="default"/>
        <w:color w:val="auto"/>
        <w:sz w:val="22"/>
      </w:rPr>
    </w:lvl>
    <w:lvl w:ilvl="3">
      <w:start w:val="1"/>
      <w:numFmt w:val="decimal"/>
      <w:lvlText w:val="%1.%2.3.9"/>
      <w:lvlJc w:val="left"/>
      <w:pPr>
        <w:ind w:left="720" w:hanging="720"/>
      </w:pPr>
      <w:rPr>
        <w:rFonts w:ascii="Arial" w:hAnsi="Arial" w:cs="Arial" w:hint="default"/>
        <w:color w:val="auto"/>
        <w:sz w:val="22"/>
      </w:rPr>
    </w:lvl>
    <w:lvl w:ilvl="4">
      <w:start w:val="1"/>
      <w:numFmt w:val="decimal"/>
      <w:lvlText w:val="%1.%2.%3.%4.%5"/>
      <w:lvlJc w:val="left"/>
      <w:pPr>
        <w:ind w:left="1080" w:hanging="1080"/>
      </w:pPr>
      <w:rPr>
        <w:rFonts w:ascii="Arial" w:hAnsi="Arial" w:cs="Arial" w:hint="default"/>
        <w:color w:val="auto"/>
        <w:sz w:val="22"/>
      </w:rPr>
    </w:lvl>
    <w:lvl w:ilvl="5">
      <w:start w:val="1"/>
      <w:numFmt w:val="decimal"/>
      <w:lvlText w:val="%1.%2.%3.%4.%5.%6"/>
      <w:lvlJc w:val="left"/>
      <w:pPr>
        <w:ind w:left="1440" w:hanging="1440"/>
      </w:pPr>
      <w:rPr>
        <w:rFonts w:ascii="Arial" w:hAnsi="Arial" w:cs="Arial" w:hint="default"/>
        <w:color w:val="auto"/>
        <w:sz w:val="22"/>
      </w:rPr>
    </w:lvl>
    <w:lvl w:ilvl="6">
      <w:start w:val="1"/>
      <w:numFmt w:val="decimal"/>
      <w:lvlText w:val="%1.%2.%3.%4.%5.%6.%7"/>
      <w:lvlJc w:val="left"/>
      <w:pPr>
        <w:ind w:left="1440" w:hanging="1440"/>
      </w:pPr>
      <w:rPr>
        <w:rFonts w:ascii="Arial" w:hAnsi="Arial" w:cs="Arial" w:hint="default"/>
        <w:color w:val="auto"/>
        <w:sz w:val="22"/>
      </w:rPr>
    </w:lvl>
    <w:lvl w:ilvl="7">
      <w:start w:val="1"/>
      <w:numFmt w:val="decimal"/>
      <w:lvlText w:val="%1.%2.%3.%4.%5.%6.%7.%8"/>
      <w:lvlJc w:val="left"/>
      <w:pPr>
        <w:ind w:left="1800" w:hanging="1800"/>
      </w:pPr>
      <w:rPr>
        <w:rFonts w:ascii="Arial" w:hAnsi="Arial" w:cs="Arial" w:hint="default"/>
        <w:color w:val="auto"/>
        <w:sz w:val="22"/>
      </w:rPr>
    </w:lvl>
    <w:lvl w:ilvl="8">
      <w:start w:val="1"/>
      <w:numFmt w:val="decimal"/>
      <w:lvlText w:val="%1.%2.%3.%4.%5.%6.%7.%8.%9"/>
      <w:lvlJc w:val="left"/>
      <w:pPr>
        <w:ind w:left="1800" w:hanging="1800"/>
      </w:pPr>
      <w:rPr>
        <w:rFonts w:ascii="Arial" w:hAnsi="Arial" w:cs="Arial" w:hint="default"/>
        <w:color w:val="auto"/>
        <w:sz w:val="22"/>
      </w:rPr>
    </w:lvl>
  </w:abstractNum>
  <w:abstractNum w:abstractNumId="42" w15:restartNumberingAfterBreak="0">
    <w:nsid w:val="3A341DBB"/>
    <w:multiLevelType w:val="multilevel"/>
    <w:tmpl w:val="7632DE68"/>
    <w:lvl w:ilvl="0">
      <w:start w:val="1"/>
      <w:numFmt w:val="none"/>
      <w:lvlText w:val="1.1.3.2"/>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3BE1634A"/>
    <w:multiLevelType w:val="multilevel"/>
    <w:tmpl w:val="EAFA1E1E"/>
    <w:lvl w:ilvl="0">
      <w:start w:val="5"/>
      <w:numFmt w:val="decimal"/>
      <w:lvlText w:val="%1"/>
      <w:lvlJc w:val="left"/>
      <w:pPr>
        <w:ind w:left="360" w:hanging="360"/>
      </w:pPr>
    </w:lvl>
    <w:lvl w:ilvl="1">
      <w:start w:val="6"/>
      <w:numFmt w:val="decimal"/>
      <w:lvlText w:val="%1.%2"/>
      <w:lvlJc w:val="left"/>
      <w:pPr>
        <w:ind w:left="360" w:hanging="360"/>
      </w:pPr>
      <w:rPr>
        <w:color w:val="00206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4" w15:restartNumberingAfterBreak="0">
    <w:nsid w:val="3CE97965"/>
    <w:multiLevelType w:val="multilevel"/>
    <w:tmpl w:val="ECD42C52"/>
    <w:lvl w:ilvl="0">
      <w:start w:val="1"/>
      <w:numFmt w:val="decimal"/>
      <w:lvlText w:val="%1."/>
      <w:lvlJc w:val="left"/>
      <w:pPr>
        <w:ind w:left="720" w:hanging="360"/>
      </w:pPr>
      <w:rPr>
        <w:b w:val="0"/>
        <w:bCs w:val="0"/>
      </w:rPr>
    </w:lvl>
    <w:lvl w:ilvl="1">
      <w:numFmt w:val="bullet"/>
      <w:lvlText w:val="o"/>
      <w:lvlJc w:val="left"/>
      <w:pPr>
        <w:ind w:left="1440" w:hanging="360"/>
      </w:pPr>
      <w:rPr>
        <w:rFonts w:ascii="Courier New" w:hAnsi="Courier New" w:cs="Courier New"/>
      </w:rPr>
    </w:lvl>
    <w:lvl w:ilvl="2">
      <w:start w:val="1"/>
      <w:numFmt w:val="decimal"/>
      <w:lvlText w:val="."/>
      <w:lvlJc w:val="left"/>
      <w:pPr>
        <w:ind w:left="2160" w:hanging="360"/>
      </w:pPr>
      <w:rPr>
        <w:b w:val="0"/>
        <w:bCs w:val="0"/>
      </w:rPr>
    </w:lvl>
    <w:lvl w:ilvl="3">
      <w:numFmt w:val="bullet"/>
      <w:lvlText w:val=""/>
      <w:lvlJc w:val="left"/>
      <w:pPr>
        <w:ind w:left="2880" w:hanging="360"/>
      </w:pPr>
      <w:rPr>
        <w:rFonts w:ascii="Symbol" w:hAnsi="Symbol"/>
      </w:r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45" w15:restartNumberingAfterBreak="0">
    <w:nsid w:val="404562A5"/>
    <w:multiLevelType w:val="multilevel"/>
    <w:tmpl w:val="309C47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15:restartNumberingAfterBreak="0">
    <w:nsid w:val="42027AF5"/>
    <w:multiLevelType w:val="multilevel"/>
    <w:tmpl w:val="8F66CA44"/>
    <w:lvl w:ilvl="0">
      <w:start w:val="1"/>
      <w:numFmt w:val="none"/>
      <w:lvlText w:val="1.2.1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44507363"/>
    <w:multiLevelType w:val="multilevel"/>
    <w:tmpl w:val="D5EC7E1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val="0"/>
        <w:bCs w:val="0"/>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8" w15:restartNumberingAfterBreak="0">
    <w:nsid w:val="44BC2D11"/>
    <w:multiLevelType w:val="multilevel"/>
    <w:tmpl w:val="5A5AB888"/>
    <w:lvl w:ilvl="0">
      <w:start w:val="1"/>
      <w:numFmt w:val="none"/>
      <w:lvlText w:val="3.4.2"/>
      <w:lvlJc w:val="left"/>
      <w:pPr>
        <w:ind w:left="720" w:hanging="360"/>
      </w:pPr>
      <w:rPr>
        <w:rFonts w:hint="default"/>
      </w:rPr>
    </w:lvl>
    <w:lvl w:ilvl="1">
      <w:start w:val="1"/>
      <w:numFmt w:val="lowerLetter"/>
      <w:lvlText w:val="%2."/>
      <w:lvlJc w:val="left"/>
      <w:pPr>
        <w:ind w:left="1440" w:hanging="360"/>
      </w:pPr>
      <w:rPr>
        <w:rFonts w:hint="default"/>
      </w:rPr>
    </w:lvl>
    <w:lvl w:ilvl="2">
      <w:start w:val="1"/>
      <w:numFmt w:val="none"/>
      <w:lvlText w:val="3.1.10"/>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48BA4B18"/>
    <w:multiLevelType w:val="multilevel"/>
    <w:tmpl w:val="664E138E"/>
    <w:lvl w:ilvl="0">
      <w:start w:val="1"/>
      <w:numFmt w:val="none"/>
      <w:lvlText w:val="3.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9E64C89"/>
    <w:multiLevelType w:val="multilevel"/>
    <w:tmpl w:val="B034500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51" w15:restartNumberingAfterBreak="0">
    <w:nsid w:val="4BB8298F"/>
    <w:multiLevelType w:val="hybridMultilevel"/>
    <w:tmpl w:val="917A5DAE"/>
    <w:lvl w:ilvl="0" w:tplc="53124D9A">
      <w:start w:val="1"/>
      <w:numFmt w:val="decimal"/>
      <w:lvlText w:val="%1.1.3"/>
      <w:lvlJc w:val="left"/>
      <w:pPr>
        <w:ind w:left="720" w:hanging="360"/>
      </w:pPr>
      <w:rPr>
        <w:rFonts w:hint="default"/>
        <w:b w:val="0"/>
        <w:bCs w:val="0"/>
      </w:rPr>
    </w:lvl>
    <w:lvl w:ilvl="1" w:tplc="7566512A">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4E537B5D"/>
    <w:multiLevelType w:val="multilevel"/>
    <w:tmpl w:val="C734B326"/>
    <w:lvl w:ilvl="0">
      <w:start w:val="1"/>
      <w:numFmt w:val="none"/>
      <w:lvlText w:val="5.5.9"/>
      <w:lvlJc w:val="left"/>
      <w:pPr>
        <w:ind w:left="720" w:hanging="360"/>
      </w:pPr>
      <w:rPr>
        <w:rFonts w:hint="default"/>
      </w:rPr>
    </w:lvl>
    <w:lvl w:ilvl="1">
      <w:start w:val="1"/>
      <w:numFmt w:val="none"/>
      <w:lvlText w:val="3.5"/>
      <w:lvlJc w:val="left"/>
      <w:pPr>
        <w:ind w:left="1440" w:hanging="360"/>
      </w:pPr>
      <w:rPr>
        <w:rFonts w:hint="default"/>
      </w:rPr>
    </w:lvl>
    <w:lvl w:ilvl="2">
      <w:start w:val="1"/>
      <w:numFmt w:val="none"/>
      <w:lvlText w:val="5.5.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4EA30059"/>
    <w:multiLevelType w:val="multilevel"/>
    <w:tmpl w:val="19E8442E"/>
    <w:lvl w:ilvl="0">
      <w:start w:val="4"/>
      <w:numFmt w:val="decimal"/>
      <w:lvlText w:val="%1"/>
      <w:lvlJc w:val="left"/>
      <w:pPr>
        <w:ind w:left="660" w:hanging="660"/>
      </w:pPr>
    </w:lvl>
    <w:lvl w:ilvl="1">
      <w:start w:val="1"/>
      <w:numFmt w:val="decimal"/>
      <w:lvlText w:val="%1.%2"/>
      <w:lvlJc w:val="left"/>
      <w:pPr>
        <w:ind w:left="670" w:hanging="660"/>
      </w:pPr>
    </w:lvl>
    <w:lvl w:ilvl="2">
      <w:start w:val="4"/>
      <w:numFmt w:val="decimal"/>
      <w:lvlText w:val="%1.%2.%3"/>
      <w:lvlJc w:val="left"/>
      <w:pPr>
        <w:ind w:left="740" w:hanging="720"/>
      </w:pPr>
    </w:lvl>
    <w:lvl w:ilvl="3">
      <w:start w:val="1"/>
      <w:numFmt w:val="decimal"/>
      <w:lvlText w:val="%1.%2.%3.%4"/>
      <w:lvlJc w:val="left"/>
      <w:pPr>
        <w:ind w:left="750" w:hanging="720"/>
      </w:pPr>
    </w:lvl>
    <w:lvl w:ilvl="4">
      <w:start w:val="1"/>
      <w:numFmt w:val="decimal"/>
      <w:lvlText w:val="%1.%2.%3.%4.%5"/>
      <w:lvlJc w:val="left"/>
      <w:pPr>
        <w:ind w:left="1120" w:hanging="1080"/>
      </w:pPr>
    </w:lvl>
    <w:lvl w:ilvl="5">
      <w:start w:val="1"/>
      <w:numFmt w:val="decimal"/>
      <w:lvlText w:val="%1.%2.%3.%4.%5.%6"/>
      <w:lvlJc w:val="left"/>
      <w:pPr>
        <w:ind w:left="1130" w:hanging="1080"/>
      </w:pPr>
    </w:lvl>
    <w:lvl w:ilvl="6">
      <w:start w:val="1"/>
      <w:numFmt w:val="decimal"/>
      <w:lvlText w:val="%1.%2.%3.%4.%5.%6.%7"/>
      <w:lvlJc w:val="left"/>
      <w:pPr>
        <w:ind w:left="1500" w:hanging="1440"/>
      </w:pPr>
    </w:lvl>
    <w:lvl w:ilvl="7">
      <w:start w:val="1"/>
      <w:numFmt w:val="decimal"/>
      <w:lvlText w:val="%1.%2.%3.%4.%5.%6.%7.%8"/>
      <w:lvlJc w:val="left"/>
      <w:pPr>
        <w:ind w:left="1510" w:hanging="1440"/>
      </w:pPr>
    </w:lvl>
    <w:lvl w:ilvl="8">
      <w:start w:val="1"/>
      <w:numFmt w:val="decimal"/>
      <w:lvlText w:val="%1.%2.%3.%4.%5.%6.%7.%8.%9"/>
      <w:lvlJc w:val="left"/>
      <w:pPr>
        <w:ind w:left="1880" w:hanging="1800"/>
      </w:pPr>
    </w:lvl>
  </w:abstractNum>
  <w:abstractNum w:abstractNumId="54" w15:restartNumberingAfterBreak="0">
    <w:nsid w:val="50C261BE"/>
    <w:multiLevelType w:val="hybridMultilevel"/>
    <w:tmpl w:val="06C4025C"/>
    <w:lvl w:ilvl="0" w:tplc="6C0EABD4">
      <w:start w:val="4"/>
      <w:numFmt w:val="lowerRoman"/>
      <w:lvlText w:val="(%1)"/>
      <w:lvlJc w:val="left"/>
      <w:pPr>
        <w:ind w:left="144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57EE1679"/>
    <w:multiLevelType w:val="multilevel"/>
    <w:tmpl w:val="FCA279DC"/>
    <w:lvl w:ilvl="0">
      <w:start w:val="1"/>
      <w:numFmt w:val="none"/>
      <w:lvlText w:val="4.1.7.1"/>
      <w:lvlJc w:val="left"/>
      <w:pPr>
        <w:ind w:left="720" w:hanging="360"/>
      </w:pPr>
      <w:rPr>
        <w:rFonts w:hint="default"/>
      </w:rPr>
    </w:lvl>
    <w:lvl w:ilvl="1">
      <w:start w:val="1"/>
      <w:numFmt w:val="none"/>
      <w:lvlText w:val="3.5"/>
      <w:lvlJc w:val="left"/>
      <w:pPr>
        <w:ind w:left="1440" w:hanging="360"/>
      </w:pPr>
      <w:rPr>
        <w:rFonts w:hint="default"/>
      </w:rPr>
    </w:lvl>
    <w:lvl w:ilvl="2">
      <w:start w:val="1"/>
      <w:numFmt w:val="none"/>
      <w:lvlText w:val="3.1.10"/>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57FB71A5"/>
    <w:multiLevelType w:val="hybridMultilevel"/>
    <w:tmpl w:val="21DECE3A"/>
    <w:lvl w:ilvl="0" w:tplc="410A89D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59072CFA"/>
    <w:multiLevelType w:val="multilevel"/>
    <w:tmpl w:val="2EEA0D3C"/>
    <w:lvl w:ilvl="0">
      <w:start w:val="1"/>
      <w:numFmt w:val="none"/>
      <w:lvlText w:val="5.5.1"/>
      <w:lvlJc w:val="left"/>
      <w:pPr>
        <w:ind w:left="720" w:hanging="360"/>
      </w:pPr>
      <w:rPr>
        <w:rFonts w:hint="default"/>
      </w:rPr>
    </w:lvl>
    <w:lvl w:ilvl="1">
      <w:start w:val="1"/>
      <w:numFmt w:val="none"/>
      <w:lvlText w:val="3.5"/>
      <w:lvlJc w:val="left"/>
      <w:pPr>
        <w:ind w:left="1440" w:hanging="360"/>
      </w:pPr>
      <w:rPr>
        <w:rFonts w:hint="default"/>
      </w:rPr>
    </w:lvl>
    <w:lvl w:ilvl="2">
      <w:start w:val="1"/>
      <w:numFmt w:val="none"/>
      <w:lvlText w:val="5.5.1"/>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59904395"/>
    <w:multiLevelType w:val="multilevel"/>
    <w:tmpl w:val="3E72242A"/>
    <w:lvl w:ilvl="0">
      <w:start w:val="1"/>
      <w:numFmt w:val="none"/>
      <w:lvlText w:val="1.1.3.5"/>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59C17C2C"/>
    <w:multiLevelType w:val="hybridMultilevel"/>
    <w:tmpl w:val="6D189F5E"/>
    <w:lvl w:ilvl="0" w:tplc="40090001">
      <w:start w:val="1"/>
      <w:numFmt w:val="bullet"/>
      <w:lvlText w:val=""/>
      <w:lvlJc w:val="left"/>
      <w:pPr>
        <w:ind w:left="720" w:hanging="360"/>
      </w:pPr>
      <w:rPr>
        <w:rFonts w:ascii="Symbol" w:hAnsi="Symbol" w:hint="default"/>
        <w:u w:color="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5D2801E9"/>
    <w:multiLevelType w:val="multilevel"/>
    <w:tmpl w:val="2668E49C"/>
    <w:lvl w:ilvl="0">
      <w:start w:val="1"/>
      <w:numFmt w:val="none"/>
      <w:lvlText w:val="1.1.1.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5D513030"/>
    <w:multiLevelType w:val="multilevel"/>
    <w:tmpl w:val="82325764"/>
    <w:lvl w:ilvl="0">
      <w:start w:val="1"/>
      <w:numFmt w:val="none"/>
      <w:lvlText w:val="4.1.7.2"/>
      <w:lvlJc w:val="left"/>
      <w:pPr>
        <w:ind w:left="720" w:hanging="360"/>
      </w:pPr>
      <w:rPr>
        <w:rFonts w:hint="default"/>
      </w:rPr>
    </w:lvl>
    <w:lvl w:ilvl="1">
      <w:start w:val="1"/>
      <w:numFmt w:val="none"/>
      <w:lvlText w:val="3.5"/>
      <w:lvlJc w:val="left"/>
      <w:pPr>
        <w:ind w:left="1440" w:hanging="360"/>
      </w:pPr>
      <w:rPr>
        <w:rFonts w:hint="default"/>
      </w:rPr>
    </w:lvl>
    <w:lvl w:ilvl="2">
      <w:start w:val="1"/>
      <w:numFmt w:val="none"/>
      <w:lvlText w:val="3.1.10"/>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5F92217D"/>
    <w:multiLevelType w:val="multilevel"/>
    <w:tmpl w:val="F59AA942"/>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63" w15:restartNumberingAfterBreak="0">
    <w:nsid w:val="60196498"/>
    <w:multiLevelType w:val="hybridMultilevel"/>
    <w:tmpl w:val="9934E39E"/>
    <w:lvl w:ilvl="0" w:tplc="40090001">
      <w:start w:val="1"/>
      <w:numFmt w:val="bullet"/>
      <w:lvlText w:val=""/>
      <w:lvlJc w:val="left"/>
      <w:pPr>
        <w:ind w:left="720" w:hanging="360"/>
      </w:pPr>
      <w:rPr>
        <w:rFonts w:ascii="Symbol" w:hAnsi="Symbol" w:hint="default"/>
        <w:u w:color="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06967E9"/>
    <w:multiLevelType w:val="multilevel"/>
    <w:tmpl w:val="3A88D018"/>
    <w:lvl w:ilvl="0">
      <w:start w:val="1"/>
      <w:numFmt w:val="none"/>
      <w:lvlText w:val="4.1.3"/>
      <w:lvlJc w:val="left"/>
      <w:pPr>
        <w:ind w:left="720" w:hanging="360"/>
      </w:pPr>
      <w:rPr>
        <w:rFonts w:hint="default"/>
      </w:rPr>
    </w:lvl>
    <w:lvl w:ilvl="1">
      <w:start w:val="1"/>
      <w:numFmt w:val="none"/>
      <w:lvlText w:val="3.5"/>
      <w:lvlJc w:val="left"/>
      <w:pPr>
        <w:ind w:left="1440" w:hanging="360"/>
      </w:pPr>
      <w:rPr>
        <w:rFonts w:hint="default"/>
      </w:rPr>
    </w:lvl>
    <w:lvl w:ilvl="2">
      <w:start w:val="1"/>
      <w:numFmt w:val="none"/>
      <w:lvlText w:val="3.1.10"/>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5" w15:restartNumberingAfterBreak="0">
    <w:nsid w:val="6414246A"/>
    <w:multiLevelType w:val="multilevel"/>
    <w:tmpl w:val="48EAC1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6" w15:restartNumberingAfterBreak="0">
    <w:nsid w:val="647657F6"/>
    <w:multiLevelType w:val="multilevel"/>
    <w:tmpl w:val="895E63BC"/>
    <w:lvl w:ilvl="0">
      <w:start w:val="1"/>
      <w:numFmt w:val="none"/>
      <w:lvlText w:val="5.7.1"/>
      <w:lvlJc w:val="left"/>
      <w:pPr>
        <w:ind w:left="720" w:hanging="360"/>
      </w:pPr>
      <w:rPr>
        <w:rFonts w:hint="default"/>
      </w:rPr>
    </w:lvl>
    <w:lvl w:ilvl="1">
      <w:start w:val="1"/>
      <w:numFmt w:val="none"/>
      <w:lvlText w:val="3.5"/>
      <w:lvlJc w:val="left"/>
      <w:pPr>
        <w:ind w:left="1440" w:hanging="360"/>
      </w:pPr>
      <w:rPr>
        <w:rFonts w:hint="default"/>
      </w:rPr>
    </w:lvl>
    <w:lvl w:ilvl="2">
      <w:start w:val="1"/>
      <w:numFmt w:val="none"/>
      <w:lvlText w:val="5.7.1"/>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6495076A"/>
    <w:multiLevelType w:val="multilevel"/>
    <w:tmpl w:val="D2CEC1FE"/>
    <w:lvl w:ilvl="0">
      <w:start w:val="1"/>
      <w:numFmt w:val="none"/>
      <w:lvlText w:val="5.5.11"/>
      <w:lvlJc w:val="left"/>
      <w:pPr>
        <w:ind w:left="720" w:hanging="360"/>
      </w:pPr>
      <w:rPr>
        <w:rFonts w:hint="default"/>
      </w:rPr>
    </w:lvl>
    <w:lvl w:ilvl="1">
      <w:start w:val="1"/>
      <w:numFmt w:val="none"/>
      <w:lvlText w:val="3.5"/>
      <w:lvlJc w:val="left"/>
      <w:pPr>
        <w:ind w:left="1440" w:hanging="360"/>
      </w:pPr>
      <w:rPr>
        <w:rFonts w:hint="default"/>
      </w:rPr>
    </w:lvl>
    <w:lvl w:ilvl="2">
      <w:start w:val="1"/>
      <w:numFmt w:val="none"/>
      <w:lvlText w:val="5.5.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650C4559"/>
    <w:multiLevelType w:val="multilevel"/>
    <w:tmpl w:val="A60EDED4"/>
    <w:lvl w:ilvl="0">
      <w:start w:val="1"/>
      <w:numFmt w:val="decimal"/>
      <w:lvlText w:val="%1.1.3.7"/>
      <w:lvlJc w:val="left"/>
      <w:pPr>
        <w:ind w:left="660" w:hanging="660"/>
      </w:pPr>
      <w:rPr>
        <w:rFonts w:ascii="Arial" w:hAnsi="Arial" w:cs="Arial" w:hint="default"/>
        <w:color w:val="auto"/>
        <w:sz w:val="22"/>
      </w:rPr>
    </w:lvl>
    <w:lvl w:ilvl="1">
      <w:start w:val="1"/>
      <w:numFmt w:val="decimal"/>
      <w:lvlText w:val="%1.%2"/>
      <w:lvlJc w:val="left"/>
      <w:pPr>
        <w:ind w:left="660" w:hanging="660"/>
      </w:pPr>
      <w:rPr>
        <w:rFonts w:ascii="Arial" w:hAnsi="Arial" w:cs="Arial" w:hint="default"/>
        <w:color w:val="auto"/>
        <w:sz w:val="22"/>
      </w:rPr>
    </w:lvl>
    <w:lvl w:ilvl="2">
      <w:start w:val="2"/>
      <w:numFmt w:val="decimal"/>
      <w:lvlText w:val="%1.%2.%3"/>
      <w:lvlJc w:val="left"/>
      <w:pPr>
        <w:ind w:left="720" w:hanging="720"/>
      </w:pPr>
      <w:rPr>
        <w:rFonts w:ascii="Arial" w:hAnsi="Arial" w:cs="Arial" w:hint="default"/>
        <w:color w:val="auto"/>
        <w:sz w:val="22"/>
      </w:rPr>
    </w:lvl>
    <w:lvl w:ilvl="3">
      <w:start w:val="1"/>
      <w:numFmt w:val="decimal"/>
      <w:lvlText w:val="%1.%2.3.7"/>
      <w:lvlJc w:val="left"/>
      <w:pPr>
        <w:ind w:left="720" w:hanging="720"/>
      </w:pPr>
      <w:rPr>
        <w:rFonts w:ascii="Arial" w:hAnsi="Arial" w:cs="Arial" w:hint="default"/>
        <w:color w:val="auto"/>
        <w:sz w:val="22"/>
      </w:rPr>
    </w:lvl>
    <w:lvl w:ilvl="4">
      <w:start w:val="1"/>
      <w:numFmt w:val="decimal"/>
      <w:lvlText w:val="%1.%2.%3.%4.%5"/>
      <w:lvlJc w:val="left"/>
      <w:pPr>
        <w:ind w:left="1080" w:hanging="1080"/>
      </w:pPr>
      <w:rPr>
        <w:rFonts w:ascii="Arial" w:hAnsi="Arial" w:cs="Arial" w:hint="default"/>
        <w:color w:val="auto"/>
        <w:sz w:val="22"/>
      </w:rPr>
    </w:lvl>
    <w:lvl w:ilvl="5">
      <w:start w:val="1"/>
      <w:numFmt w:val="decimal"/>
      <w:lvlText w:val="%1.%2.%3.%4.%5.%6"/>
      <w:lvlJc w:val="left"/>
      <w:pPr>
        <w:ind w:left="1440" w:hanging="1440"/>
      </w:pPr>
      <w:rPr>
        <w:rFonts w:ascii="Arial" w:hAnsi="Arial" w:cs="Arial" w:hint="default"/>
        <w:color w:val="auto"/>
        <w:sz w:val="22"/>
      </w:rPr>
    </w:lvl>
    <w:lvl w:ilvl="6">
      <w:start w:val="1"/>
      <w:numFmt w:val="decimal"/>
      <w:lvlText w:val="%1.%2.%3.%4.%5.%6.%7"/>
      <w:lvlJc w:val="left"/>
      <w:pPr>
        <w:ind w:left="1440" w:hanging="1440"/>
      </w:pPr>
      <w:rPr>
        <w:rFonts w:ascii="Arial" w:hAnsi="Arial" w:cs="Arial" w:hint="default"/>
        <w:color w:val="auto"/>
        <w:sz w:val="22"/>
      </w:rPr>
    </w:lvl>
    <w:lvl w:ilvl="7">
      <w:start w:val="1"/>
      <w:numFmt w:val="decimal"/>
      <w:lvlText w:val="%1.%2.%3.%4.%5.%6.%7.%8"/>
      <w:lvlJc w:val="left"/>
      <w:pPr>
        <w:ind w:left="1800" w:hanging="1800"/>
      </w:pPr>
      <w:rPr>
        <w:rFonts w:ascii="Arial" w:hAnsi="Arial" w:cs="Arial" w:hint="default"/>
        <w:color w:val="auto"/>
        <w:sz w:val="22"/>
      </w:rPr>
    </w:lvl>
    <w:lvl w:ilvl="8">
      <w:start w:val="1"/>
      <w:numFmt w:val="decimal"/>
      <w:lvlText w:val="%1.%2.%3.%4.%5.%6.%7.%8.%9"/>
      <w:lvlJc w:val="left"/>
      <w:pPr>
        <w:ind w:left="1800" w:hanging="1800"/>
      </w:pPr>
      <w:rPr>
        <w:rFonts w:ascii="Arial" w:hAnsi="Arial" w:cs="Arial" w:hint="default"/>
        <w:color w:val="auto"/>
        <w:sz w:val="22"/>
      </w:rPr>
    </w:lvl>
  </w:abstractNum>
  <w:abstractNum w:abstractNumId="69" w15:restartNumberingAfterBreak="0">
    <w:nsid w:val="65A70A43"/>
    <w:multiLevelType w:val="multilevel"/>
    <w:tmpl w:val="E5CEBC26"/>
    <w:lvl w:ilvl="0">
      <w:start w:val="1"/>
      <w:numFmt w:val="none"/>
      <w:lvlText w:val="4.1.4"/>
      <w:lvlJc w:val="left"/>
      <w:pPr>
        <w:ind w:left="720" w:hanging="360"/>
      </w:pPr>
      <w:rPr>
        <w:rFonts w:hint="default"/>
      </w:rPr>
    </w:lvl>
    <w:lvl w:ilvl="1">
      <w:start w:val="1"/>
      <w:numFmt w:val="none"/>
      <w:lvlText w:val="3.5"/>
      <w:lvlJc w:val="left"/>
      <w:pPr>
        <w:ind w:left="1440" w:hanging="360"/>
      </w:pPr>
      <w:rPr>
        <w:rFonts w:hint="default"/>
      </w:rPr>
    </w:lvl>
    <w:lvl w:ilvl="2">
      <w:start w:val="1"/>
      <w:numFmt w:val="none"/>
      <w:lvlText w:val="3.1.10"/>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6653520C"/>
    <w:multiLevelType w:val="multilevel"/>
    <w:tmpl w:val="E6AE468E"/>
    <w:lvl w:ilvl="0">
      <w:start w:val="1"/>
      <w:numFmt w:val="none"/>
      <w:lvlText w:val="3.4.5"/>
      <w:lvlJc w:val="left"/>
      <w:pPr>
        <w:ind w:left="720" w:hanging="360"/>
      </w:pPr>
      <w:rPr>
        <w:rFonts w:hint="default"/>
      </w:rPr>
    </w:lvl>
    <w:lvl w:ilvl="1">
      <w:start w:val="1"/>
      <w:numFmt w:val="lowerLetter"/>
      <w:lvlText w:val="%2."/>
      <w:lvlJc w:val="left"/>
      <w:pPr>
        <w:ind w:left="1440" w:hanging="360"/>
      </w:pPr>
      <w:rPr>
        <w:rFonts w:hint="default"/>
      </w:rPr>
    </w:lvl>
    <w:lvl w:ilvl="2">
      <w:start w:val="1"/>
      <w:numFmt w:val="none"/>
      <w:lvlText w:val="3.1.10"/>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15:restartNumberingAfterBreak="0">
    <w:nsid w:val="68CB1237"/>
    <w:multiLevelType w:val="multilevel"/>
    <w:tmpl w:val="EA62696C"/>
    <w:lvl w:ilvl="0">
      <w:start w:val="1"/>
      <w:numFmt w:val="none"/>
      <w:lvlText w:val="1.2.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68F30059"/>
    <w:multiLevelType w:val="multilevel"/>
    <w:tmpl w:val="F5B25112"/>
    <w:lvl w:ilvl="0">
      <w:start w:val="1"/>
      <w:numFmt w:val="none"/>
      <w:lvlText w:val="4.1.7"/>
      <w:lvlJc w:val="left"/>
      <w:pPr>
        <w:ind w:left="720" w:hanging="360"/>
      </w:pPr>
      <w:rPr>
        <w:rFonts w:hint="default"/>
      </w:rPr>
    </w:lvl>
    <w:lvl w:ilvl="1">
      <w:start w:val="1"/>
      <w:numFmt w:val="none"/>
      <w:lvlText w:val="3.5"/>
      <w:lvlJc w:val="left"/>
      <w:pPr>
        <w:ind w:left="1440" w:hanging="360"/>
      </w:pPr>
      <w:rPr>
        <w:rFonts w:hint="default"/>
      </w:rPr>
    </w:lvl>
    <w:lvl w:ilvl="2">
      <w:start w:val="1"/>
      <w:numFmt w:val="none"/>
      <w:lvlText w:val="3.1.10"/>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15:restartNumberingAfterBreak="0">
    <w:nsid w:val="6A615BE8"/>
    <w:multiLevelType w:val="multilevel"/>
    <w:tmpl w:val="F1DC500E"/>
    <w:lvl w:ilvl="0">
      <w:start w:val="1"/>
      <w:numFmt w:val="none"/>
      <w:lvlText w:val="3.4.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none"/>
      <w:lvlText w:val="3.1.10"/>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6B561B43"/>
    <w:multiLevelType w:val="multilevel"/>
    <w:tmpl w:val="3A6A4914"/>
    <w:lvl w:ilvl="0">
      <w:start w:val="1"/>
      <w:numFmt w:val="none"/>
      <w:lvlText w:val="5.4.1"/>
      <w:lvlJc w:val="left"/>
      <w:pPr>
        <w:ind w:left="720" w:hanging="360"/>
      </w:pPr>
      <w:rPr>
        <w:rFonts w:hint="default"/>
      </w:rPr>
    </w:lvl>
    <w:lvl w:ilvl="1">
      <w:start w:val="1"/>
      <w:numFmt w:val="none"/>
      <w:lvlText w:val="3.5"/>
      <w:lvlJc w:val="left"/>
      <w:pPr>
        <w:ind w:left="1440" w:hanging="360"/>
      </w:pPr>
      <w:rPr>
        <w:rFonts w:hint="default"/>
      </w:rPr>
    </w:lvl>
    <w:lvl w:ilvl="2">
      <w:start w:val="1"/>
      <w:numFmt w:val="none"/>
      <w:lvlText w:val="5.4.1"/>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15:restartNumberingAfterBreak="0">
    <w:nsid w:val="6DC147D8"/>
    <w:multiLevelType w:val="multilevel"/>
    <w:tmpl w:val="BF4658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6" w15:restartNumberingAfterBreak="0">
    <w:nsid w:val="6E057FC8"/>
    <w:multiLevelType w:val="multilevel"/>
    <w:tmpl w:val="01D210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7" w15:restartNumberingAfterBreak="0">
    <w:nsid w:val="6E7A0B8F"/>
    <w:multiLevelType w:val="multilevel"/>
    <w:tmpl w:val="74101D3A"/>
    <w:lvl w:ilvl="0">
      <w:start w:val="1"/>
      <w:numFmt w:val="none"/>
      <w:lvlText w:val="5.5.5"/>
      <w:lvlJc w:val="left"/>
      <w:pPr>
        <w:ind w:left="720" w:hanging="360"/>
      </w:pPr>
      <w:rPr>
        <w:rFonts w:hint="default"/>
      </w:rPr>
    </w:lvl>
    <w:lvl w:ilvl="1">
      <w:start w:val="1"/>
      <w:numFmt w:val="none"/>
      <w:lvlText w:val="3.5"/>
      <w:lvlJc w:val="left"/>
      <w:pPr>
        <w:ind w:left="1440" w:hanging="360"/>
      </w:pPr>
      <w:rPr>
        <w:rFonts w:hint="default"/>
      </w:rPr>
    </w:lvl>
    <w:lvl w:ilvl="2">
      <w:start w:val="1"/>
      <w:numFmt w:val="none"/>
      <w:lvlText w:val="5.5.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15:restartNumberingAfterBreak="0">
    <w:nsid w:val="700C56EB"/>
    <w:multiLevelType w:val="hybridMultilevel"/>
    <w:tmpl w:val="56846FC0"/>
    <w:lvl w:ilvl="0" w:tplc="2F4A8A48">
      <w:start w:val="1"/>
      <w:numFmt w:val="bullet"/>
      <w:lvlText w:val="○"/>
      <w:lvlJc w:val="left"/>
      <w:pPr>
        <w:ind w:left="720" w:hanging="360"/>
      </w:pPr>
      <w:rPr>
        <w:rFonts w:ascii="Courier New" w:hAnsi="Courier New" w:hint="default"/>
        <w:u w:color="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06D5512"/>
    <w:multiLevelType w:val="multilevel"/>
    <w:tmpl w:val="01D25864"/>
    <w:lvl w:ilvl="0">
      <w:start w:val="1"/>
      <w:numFmt w:val="none"/>
      <w:lvlText w:val="5.5.4"/>
      <w:lvlJc w:val="left"/>
      <w:pPr>
        <w:ind w:left="720" w:hanging="360"/>
      </w:pPr>
      <w:rPr>
        <w:rFonts w:hint="default"/>
      </w:rPr>
    </w:lvl>
    <w:lvl w:ilvl="1">
      <w:start w:val="1"/>
      <w:numFmt w:val="none"/>
      <w:lvlText w:val="3.5"/>
      <w:lvlJc w:val="left"/>
      <w:pPr>
        <w:ind w:left="1440" w:hanging="360"/>
      </w:pPr>
      <w:rPr>
        <w:rFonts w:hint="default"/>
      </w:rPr>
    </w:lvl>
    <w:lvl w:ilvl="2">
      <w:start w:val="1"/>
      <w:numFmt w:val="none"/>
      <w:lvlText w:val="5.5.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0" w15:restartNumberingAfterBreak="0">
    <w:nsid w:val="734E465C"/>
    <w:multiLevelType w:val="multilevel"/>
    <w:tmpl w:val="5D62ED34"/>
    <w:lvl w:ilvl="0">
      <w:start w:val="1"/>
      <w:numFmt w:val="none"/>
      <w:lvlText w:val="3.5.1"/>
      <w:lvlJc w:val="left"/>
      <w:pPr>
        <w:ind w:left="720" w:hanging="360"/>
      </w:pPr>
      <w:rPr>
        <w:rFonts w:hint="default"/>
      </w:rPr>
    </w:lvl>
    <w:lvl w:ilvl="1">
      <w:start w:val="1"/>
      <w:numFmt w:val="none"/>
      <w:lvlText w:val="3.5"/>
      <w:lvlJc w:val="left"/>
      <w:pPr>
        <w:ind w:left="1440" w:hanging="360"/>
      </w:pPr>
      <w:rPr>
        <w:rFonts w:hint="default"/>
      </w:rPr>
    </w:lvl>
    <w:lvl w:ilvl="2">
      <w:start w:val="1"/>
      <w:numFmt w:val="none"/>
      <w:lvlText w:val="3.1.10"/>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1" w15:restartNumberingAfterBreak="0">
    <w:nsid w:val="73DA391C"/>
    <w:multiLevelType w:val="hybridMultilevel"/>
    <w:tmpl w:val="4B4C2AA2"/>
    <w:lvl w:ilvl="0" w:tplc="40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7EB4B56"/>
    <w:multiLevelType w:val="multilevel"/>
    <w:tmpl w:val="0F64ED46"/>
    <w:lvl w:ilvl="0">
      <w:start w:val="1"/>
      <w:numFmt w:val="decimal"/>
      <w:lvlText w:val="%1."/>
      <w:lvlJc w:val="left"/>
      <w:pPr>
        <w:ind w:left="360" w:hanging="360"/>
      </w:pPr>
      <w:rPr>
        <w:rFonts w:hint="default"/>
        <w:b w:val="0"/>
        <w:bCs w:val="0"/>
        <w:color w:val="000000" w:themeColor="text1"/>
        <w:sz w:val="22"/>
      </w:rPr>
    </w:lvl>
    <w:lvl w:ilvl="1">
      <w:start w:val="4"/>
      <w:numFmt w:val="decimal"/>
      <w:lvlText w:val="%1.%2"/>
      <w:lvlJc w:val="left"/>
      <w:pPr>
        <w:ind w:left="360" w:hanging="360"/>
      </w:pPr>
      <w:rPr>
        <w:b/>
        <w:sz w:val="22"/>
      </w:rPr>
    </w:lvl>
    <w:lvl w:ilvl="2">
      <w:start w:val="1"/>
      <w:numFmt w:val="decimal"/>
      <w:lvlText w:val="%1.%2.%3"/>
      <w:lvlJc w:val="left"/>
      <w:pPr>
        <w:ind w:left="720" w:hanging="720"/>
      </w:pPr>
      <w:rPr>
        <w:b/>
        <w:sz w:val="22"/>
      </w:rPr>
    </w:lvl>
    <w:lvl w:ilvl="3">
      <w:start w:val="1"/>
      <w:numFmt w:val="decimal"/>
      <w:lvlText w:val="%1.%2.%3.%4"/>
      <w:lvlJc w:val="left"/>
      <w:pPr>
        <w:ind w:left="720" w:hanging="720"/>
      </w:pPr>
      <w:rPr>
        <w:b/>
        <w:sz w:val="22"/>
      </w:rPr>
    </w:lvl>
    <w:lvl w:ilvl="4">
      <w:start w:val="1"/>
      <w:numFmt w:val="decimal"/>
      <w:lvlText w:val="%1.%2.%3.%4.%5"/>
      <w:lvlJc w:val="left"/>
      <w:pPr>
        <w:ind w:left="1080" w:hanging="1080"/>
      </w:pPr>
      <w:rPr>
        <w:b/>
        <w:sz w:val="22"/>
      </w:rPr>
    </w:lvl>
    <w:lvl w:ilvl="5">
      <w:start w:val="1"/>
      <w:numFmt w:val="decimal"/>
      <w:lvlText w:val="%1.%2.%3.%4.%5.%6"/>
      <w:lvlJc w:val="left"/>
      <w:pPr>
        <w:ind w:left="1080" w:hanging="1080"/>
      </w:pPr>
      <w:rPr>
        <w:b/>
        <w:sz w:val="22"/>
      </w:rPr>
    </w:lvl>
    <w:lvl w:ilvl="6">
      <w:start w:val="1"/>
      <w:numFmt w:val="decimal"/>
      <w:lvlText w:val="%1.%2.%3.%4.%5.%6.%7"/>
      <w:lvlJc w:val="left"/>
      <w:pPr>
        <w:ind w:left="1440" w:hanging="1440"/>
      </w:pPr>
      <w:rPr>
        <w:b/>
        <w:sz w:val="22"/>
      </w:rPr>
    </w:lvl>
    <w:lvl w:ilvl="7">
      <w:start w:val="1"/>
      <w:numFmt w:val="decimal"/>
      <w:lvlText w:val="%1.%2.%3.%4.%5.%6.%7.%8"/>
      <w:lvlJc w:val="left"/>
      <w:pPr>
        <w:ind w:left="1440" w:hanging="1440"/>
      </w:pPr>
      <w:rPr>
        <w:b/>
        <w:sz w:val="22"/>
      </w:rPr>
    </w:lvl>
    <w:lvl w:ilvl="8">
      <w:start w:val="1"/>
      <w:numFmt w:val="decimal"/>
      <w:lvlText w:val="%1.%2.%3.%4.%5.%6.%7.%8.%9"/>
      <w:lvlJc w:val="left"/>
      <w:pPr>
        <w:ind w:left="1800" w:hanging="1800"/>
      </w:pPr>
      <w:rPr>
        <w:b/>
        <w:sz w:val="22"/>
      </w:rPr>
    </w:lvl>
  </w:abstractNum>
  <w:abstractNum w:abstractNumId="83" w15:restartNumberingAfterBreak="0">
    <w:nsid w:val="7CE663BD"/>
    <w:multiLevelType w:val="hybridMultilevel"/>
    <w:tmpl w:val="0D08392A"/>
    <w:lvl w:ilvl="0" w:tplc="40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FD60C5C"/>
    <w:multiLevelType w:val="hybridMultilevel"/>
    <w:tmpl w:val="9118A754"/>
    <w:lvl w:ilvl="0" w:tplc="DFC66E30">
      <w:start w:val="2"/>
      <w:numFmt w:val="lowerRoman"/>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7FE95ACF"/>
    <w:multiLevelType w:val="multilevel"/>
    <w:tmpl w:val="2668B854"/>
    <w:lvl w:ilvl="0">
      <w:start w:val="3"/>
      <w:numFmt w:val="decimal"/>
      <w:lvlText w:val="%1"/>
      <w:lvlJc w:val="left"/>
      <w:pPr>
        <w:ind w:left="480" w:hanging="480"/>
      </w:pPr>
      <w:rPr>
        <w:rFonts w:cs="Arial"/>
      </w:rPr>
    </w:lvl>
    <w:lvl w:ilvl="1">
      <w:start w:val="1"/>
      <w:numFmt w:val="decimal"/>
      <w:lvlText w:val="%1.%2"/>
      <w:lvlJc w:val="left"/>
      <w:pPr>
        <w:ind w:left="480" w:hanging="480"/>
      </w:pPr>
      <w:rPr>
        <w:rFonts w:cs="Arial"/>
      </w:rPr>
    </w:lvl>
    <w:lvl w:ilvl="2">
      <w:start w:val="8"/>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800" w:hanging="1800"/>
      </w:pPr>
      <w:rPr>
        <w:rFonts w:cs="Arial"/>
      </w:rPr>
    </w:lvl>
  </w:abstractNum>
  <w:num w:numId="1" w16cid:durableId="1365253291">
    <w:abstractNumId w:val="47"/>
  </w:num>
  <w:num w:numId="2" w16cid:durableId="710959858">
    <w:abstractNumId w:val="41"/>
  </w:num>
  <w:num w:numId="3" w16cid:durableId="1309937793">
    <w:abstractNumId w:val="50"/>
  </w:num>
  <w:num w:numId="4" w16cid:durableId="825786292">
    <w:abstractNumId w:val="45"/>
  </w:num>
  <w:num w:numId="5" w16cid:durableId="1786535511">
    <w:abstractNumId w:val="62"/>
  </w:num>
  <w:num w:numId="6" w16cid:durableId="1351176379">
    <w:abstractNumId w:val="10"/>
  </w:num>
  <w:num w:numId="7" w16cid:durableId="189493035">
    <w:abstractNumId w:val="76"/>
  </w:num>
  <w:num w:numId="8" w16cid:durableId="132645072">
    <w:abstractNumId w:val="11"/>
  </w:num>
  <w:num w:numId="9" w16cid:durableId="1493132762">
    <w:abstractNumId w:val="15"/>
  </w:num>
  <w:num w:numId="10" w16cid:durableId="1777476960">
    <w:abstractNumId w:val="0"/>
  </w:num>
  <w:num w:numId="11" w16cid:durableId="2074498916">
    <w:abstractNumId w:val="85"/>
  </w:num>
  <w:num w:numId="12" w16cid:durableId="1446192137">
    <w:abstractNumId w:val="21"/>
  </w:num>
  <w:num w:numId="13" w16cid:durableId="416942465">
    <w:abstractNumId w:val="30"/>
  </w:num>
  <w:num w:numId="14" w16cid:durableId="1059090554">
    <w:abstractNumId w:val="4"/>
  </w:num>
  <w:num w:numId="15" w16cid:durableId="295379890">
    <w:abstractNumId w:val="53"/>
  </w:num>
  <w:num w:numId="16" w16cid:durableId="1955481990">
    <w:abstractNumId w:val="39"/>
  </w:num>
  <w:num w:numId="17" w16cid:durableId="1495143846">
    <w:abstractNumId w:val="44"/>
  </w:num>
  <w:num w:numId="18" w16cid:durableId="548495881">
    <w:abstractNumId w:val="19"/>
  </w:num>
  <w:num w:numId="19" w16cid:durableId="991250009">
    <w:abstractNumId w:val="20"/>
  </w:num>
  <w:num w:numId="20" w16cid:durableId="1978684279">
    <w:abstractNumId w:val="43"/>
  </w:num>
  <w:num w:numId="21" w16cid:durableId="1422877662">
    <w:abstractNumId w:val="7"/>
  </w:num>
  <w:num w:numId="22" w16cid:durableId="1608196049">
    <w:abstractNumId w:val="75"/>
  </w:num>
  <w:num w:numId="23" w16cid:durableId="1577282618">
    <w:abstractNumId w:val="65"/>
  </w:num>
  <w:num w:numId="24" w16cid:durableId="2126119195">
    <w:abstractNumId w:val="8"/>
  </w:num>
  <w:num w:numId="25" w16cid:durableId="948003622">
    <w:abstractNumId w:val="29"/>
    <w:lvlOverride w:ilvl="0">
      <w:lvl w:ilvl="0">
        <w:start w:val="1"/>
        <w:numFmt w:val="none"/>
        <w:lvlText w:val="1.1.1.4"/>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6" w16cid:durableId="1905094963">
    <w:abstractNumId w:val="29"/>
    <w:lvlOverride w:ilvl="0">
      <w:lvl w:ilvl="0">
        <w:start w:val="1"/>
        <w:numFmt w:val="none"/>
        <w:lvlText w:val="1.1.1.5"/>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7" w16cid:durableId="250621372">
    <w:abstractNumId w:val="29"/>
    <w:lvlOverride w:ilvl="0">
      <w:lvl w:ilvl="0">
        <w:start w:val="1"/>
        <w:numFmt w:val="none"/>
        <w:lvlText w:val="1.1.1.7"/>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8" w16cid:durableId="1678772371">
    <w:abstractNumId w:val="29"/>
    <w:lvlOverride w:ilvl="0">
      <w:lvl w:ilvl="0">
        <w:start w:val="1"/>
        <w:numFmt w:val="none"/>
        <w:lvlText w:val="1.1.1.6"/>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9" w16cid:durableId="2035225631">
    <w:abstractNumId w:val="33"/>
  </w:num>
  <w:num w:numId="30" w16cid:durableId="1693265845">
    <w:abstractNumId w:val="60"/>
  </w:num>
  <w:num w:numId="31" w16cid:durableId="938100068">
    <w:abstractNumId w:val="29"/>
    <w:lvlOverride w:ilvl="0">
      <w:lvl w:ilvl="0">
        <w:start w:val="1"/>
        <w:numFmt w:val="none"/>
        <w:lvlText w:val="1.1.2"/>
        <w:lvlJc w:val="left"/>
        <w:pPr>
          <w:ind w:left="720" w:hanging="360"/>
        </w:pPr>
        <w:rPr>
          <w:rFonts w:hint="default"/>
          <w:b w:val="0"/>
          <w:bCs w:val="0"/>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2" w16cid:durableId="1953173367">
    <w:abstractNumId w:val="29"/>
    <w:lvlOverride w:ilvl="0">
      <w:lvl w:ilvl="0">
        <w:start w:val="1"/>
        <w:numFmt w:val="none"/>
        <w:lvlText w:val="1.1.2.1"/>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16cid:durableId="23529667">
    <w:abstractNumId w:val="29"/>
    <w:lvlOverride w:ilvl="0">
      <w:lvl w:ilvl="0">
        <w:start w:val="1"/>
        <w:numFmt w:val="none"/>
        <w:lvlText w:val="1.1.2.2"/>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16cid:durableId="987711385">
    <w:abstractNumId w:val="29"/>
    <w:lvlOverride w:ilvl="0">
      <w:lvl w:ilvl="0">
        <w:start w:val="1"/>
        <w:numFmt w:val="none"/>
        <w:lvlText w:val="1.1.2.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5" w16cid:durableId="1385324339">
    <w:abstractNumId w:val="29"/>
    <w:lvlOverride w:ilvl="0">
      <w:lvl w:ilvl="0">
        <w:start w:val="1"/>
        <w:numFmt w:val="none"/>
        <w:lvlText w:val="1.1.2.4"/>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16cid:durableId="1115827582">
    <w:abstractNumId w:val="29"/>
    <w:lvlOverride w:ilvl="0">
      <w:lvl w:ilvl="0">
        <w:start w:val="1"/>
        <w:numFmt w:val="none"/>
        <w:lvlText w:val="1.1.2.5"/>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7" w16cid:durableId="1791778264">
    <w:abstractNumId w:val="29"/>
    <w:lvlOverride w:ilvl="0">
      <w:lvl w:ilvl="0">
        <w:start w:val="1"/>
        <w:numFmt w:val="none"/>
        <w:lvlText w:val="1.1.2.6"/>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8" w16cid:durableId="663700055">
    <w:abstractNumId w:val="51"/>
  </w:num>
  <w:num w:numId="39" w16cid:durableId="2074306721">
    <w:abstractNumId w:val="38"/>
  </w:num>
  <w:num w:numId="40" w16cid:durableId="2120298456">
    <w:abstractNumId w:val="42"/>
  </w:num>
  <w:num w:numId="41" w16cid:durableId="53895465">
    <w:abstractNumId w:val="37"/>
  </w:num>
  <w:num w:numId="42" w16cid:durableId="1703749238">
    <w:abstractNumId w:val="32"/>
  </w:num>
  <w:num w:numId="43" w16cid:durableId="1870486132">
    <w:abstractNumId w:val="58"/>
  </w:num>
  <w:num w:numId="44" w16cid:durableId="129565314">
    <w:abstractNumId w:val="68"/>
  </w:num>
  <w:num w:numId="45" w16cid:durableId="1871528911">
    <w:abstractNumId w:val="41"/>
    <w:lvlOverride w:ilvl="0">
      <w:lvl w:ilvl="0">
        <w:start w:val="1"/>
        <w:numFmt w:val="decimal"/>
        <w:lvlText w:val="%1"/>
        <w:lvlJc w:val="left"/>
        <w:pPr>
          <w:ind w:left="660" w:hanging="660"/>
        </w:pPr>
        <w:rPr>
          <w:rFonts w:ascii="Arial" w:hAnsi="Arial" w:cs="Arial" w:hint="default"/>
          <w:color w:val="auto"/>
          <w:sz w:val="22"/>
        </w:rPr>
      </w:lvl>
    </w:lvlOverride>
    <w:lvlOverride w:ilvl="1">
      <w:lvl w:ilvl="1">
        <w:start w:val="1"/>
        <w:numFmt w:val="decimal"/>
        <w:lvlText w:val="%1.%2"/>
        <w:lvlJc w:val="left"/>
        <w:pPr>
          <w:ind w:left="660" w:hanging="660"/>
        </w:pPr>
        <w:rPr>
          <w:rFonts w:ascii="Arial" w:hAnsi="Arial" w:cs="Arial" w:hint="default"/>
          <w:color w:val="auto"/>
          <w:sz w:val="22"/>
        </w:rPr>
      </w:lvl>
    </w:lvlOverride>
    <w:lvlOverride w:ilvl="2">
      <w:lvl w:ilvl="2">
        <w:start w:val="2"/>
        <w:numFmt w:val="decimal"/>
        <w:lvlText w:val="%1.%2.%3"/>
        <w:lvlJc w:val="left"/>
        <w:pPr>
          <w:ind w:left="720" w:hanging="720"/>
        </w:pPr>
        <w:rPr>
          <w:rFonts w:ascii="Arial" w:hAnsi="Arial" w:cs="Arial" w:hint="default"/>
          <w:color w:val="auto"/>
          <w:sz w:val="22"/>
        </w:rPr>
      </w:lvl>
    </w:lvlOverride>
    <w:lvlOverride w:ilvl="3">
      <w:lvl w:ilvl="3">
        <w:start w:val="1"/>
        <w:numFmt w:val="decimal"/>
        <w:lvlText w:val="%1.%2.3.8"/>
        <w:lvlJc w:val="left"/>
        <w:pPr>
          <w:ind w:left="720" w:hanging="720"/>
        </w:pPr>
        <w:rPr>
          <w:rFonts w:ascii="Arial" w:hAnsi="Arial" w:cs="Arial" w:hint="default"/>
          <w:color w:val="auto"/>
          <w:sz w:val="22"/>
        </w:rPr>
      </w:lvl>
    </w:lvlOverride>
    <w:lvlOverride w:ilvl="4">
      <w:lvl w:ilvl="4">
        <w:start w:val="1"/>
        <w:numFmt w:val="decimal"/>
        <w:lvlText w:val="%1.%2.%3.%4.%5"/>
        <w:lvlJc w:val="left"/>
        <w:pPr>
          <w:ind w:left="1080" w:hanging="1080"/>
        </w:pPr>
        <w:rPr>
          <w:rFonts w:ascii="Arial" w:hAnsi="Arial" w:cs="Arial" w:hint="default"/>
          <w:color w:val="auto"/>
          <w:sz w:val="22"/>
        </w:rPr>
      </w:lvl>
    </w:lvlOverride>
    <w:lvlOverride w:ilvl="5">
      <w:lvl w:ilvl="5">
        <w:start w:val="1"/>
        <w:numFmt w:val="decimal"/>
        <w:lvlText w:val="%1.%2.%3.%4.%5.%6"/>
        <w:lvlJc w:val="left"/>
        <w:pPr>
          <w:ind w:left="1440" w:hanging="1440"/>
        </w:pPr>
        <w:rPr>
          <w:rFonts w:ascii="Arial" w:hAnsi="Arial" w:cs="Arial" w:hint="default"/>
          <w:color w:val="auto"/>
          <w:sz w:val="22"/>
        </w:rPr>
      </w:lvl>
    </w:lvlOverride>
    <w:lvlOverride w:ilvl="6">
      <w:lvl w:ilvl="6">
        <w:start w:val="1"/>
        <w:numFmt w:val="decimal"/>
        <w:lvlText w:val="%1.%2.%3.%4.%5.%6.%7"/>
        <w:lvlJc w:val="left"/>
        <w:pPr>
          <w:ind w:left="1440" w:hanging="1440"/>
        </w:pPr>
        <w:rPr>
          <w:rFonts w:ascii="Arial" w:hAnsi="Arial" w:cs="Arial" w:hint="default"/>
          <w:color w:val="auto"/>
          <w:sz w:val="22"/>
        </w:rPr>
      </w:lvl>
    </w:lvlOverride>
    <w:lvlOverride w:ilvl="7">
      <w:lvl w:ilvl="7">
        <w:start w:val="1"/>
        <w:numFmt w:val="decimal"/>
        <w:lvlText w:val="%1.%2.%3.%4.%5.%6.%7.%8"/>
        <w:lvlJc w:val="left"/>
        <w:pPr>
          <w:ind w:left="1800" w:hanging="1800"/>
        </w:pPr>
        <w:rPr>
          <w:rFonts w:ascii="Arial" w:hAnsi="Arial" w:cs="Arial" w:hint="default"/>
          <w:color w:val="auto"/>
          <w:sz w:val="22"/>
        </w:rPr>
      </w:lvl>
    </w:lvlOverride>
    <w:lvlOverride w:ilvl="8">
      <w:lvl w:ilvl="8">
        <w:start w:val="1"/>
        <w:numFmt w:val="decimal"/>
        <w:lvlText w:val="%1.%2.%3.%4.%5.%6.%7.%8.%9"/>
        <w:lvlJc w:val="left"/>
        <w:pPr>
          <w:ind w:left="1800" w:hanging="1800"/>
        </w:pPr>
        <w:rPr>
          <w:rFonts w:ascii="Arial" w:hAnsi="Arial" w:cs="Arial" w:hint="default"/>
          <w:color w:val="auto"/>
          <w:sz w:val="22"/>
        </w:rPr>
      </w:lvl>
    </w:lvlOverride>
  </w:num>
  <w:num w:numId="46" w16cid:durableId="1626504229">
    <w:abstractNumId w:val="41"/>
    <w:lvlOverride w:ilvl="0">
      <w:lvl w:ilvl="0">
        <w:start w:val="1"/>
        <w:numFmt w:val="decimal"/>
        <w:lvlText w:val="%1"/>
        <w:lvlJc w:val="left"/>
        <w:pPr>
          <w:ind w:left="660" w:hanging="660"/>
        </w:pPr>
        <w:rPr>
          <w:rFonts w:ascii="Arial" w:hAnsi="Arial" w:cs="Arial" w:hint="default"/>
          <w:color w:val="auto"/>
          <w:sz w:val="22"/>
        </w:rPr>
      </w:lvl>
    </w:lvlOverride>
    <w:lvlOverride w:ilvl="1">
      <w:lvl w:ilvl="1">
        <w:start w:val="1"/>
        <w:numFmt w:val="decimal"/>
        <w:lvlText w:val="%1.%2"/>
        <w:lvlJc w:val="left"/>
        <w:pPr>
          <w:ind w:left="660" w:hanging="660"/>
        </w:pPr>
        <w:rPr>
          <w:rFonts w:ascii="Arial" w:hAnsi="Arial" w:cs="Arial" w:hint="default"/>
          <w:color w:val="auto"/>
          <w:sz w:val="22"/>
        </w:rPr>
      </w:lvl>
    </w:lvlOverride>
    <w:lvlOverride w:ilvl="2">
      <w:lvl w:ilvl="2">
        <w:start w:val="2"/>
        <w:numFmt w:val="decimal"/>
        <w:lvlText w:val="%1.%2.%3"/>
        <w:lvlJc w:val="left"/>
        <w:pPr>
          <w:ind w:left="720" w:hanging="720"/>
        </w:pPr>
        <w:rPr>
          <w:rFonts w:ascii="Arial" w:hAnsi="Arial" w:cs="Arial" w:hint="default"/>
          <w:color w:val="auto"/>
          <w:sz w:val="22"/>
        </w:rPr>
      </w:lvl>
    </w:lvlOverride>
    <w:lvlOverride w:ilvl="3">
      <w:lvl w:ilvl="3">
        <w:start w:val="1"/>
        <w:numFmt w:val="decimal"/>
        <w:lvlText w:val="%1.%2.3.10"/>
        <w:lvlJc w:val="left"/>
        <w:pPr>
          <w:ind w:left="720" w:hanging="720"/>
        </w:pPr>
        <w:rPr>
          <w:rFonts w:ascii="Arial" w:hAnsi="Arial" w:cs="Arial" w:hint="default"/>
          <w:color w:val="auto"/>
          <w:sz w:val="22"/>
        </w:rPr>
      </w:lvl>
    </w:lvlOverride>
    <w:lvlOverride w:ilvl="4">
      <w:lvl w:ilvl="4">
        <w:start w:val="1"/>
        <w:numFmt w:val="decimal"/>
        <w:lvlText w:val="%1.%2.%3.%4.%5"/>
        <w:lvlJc w:val="left"/>
        <w:pPr>
          <w:ind w:left="1080" w:hanging="1080"/>
        </w:pPr>
        <w:rPr>
          <w:rFonts w:ascii="Arial" w:hAnsi="Arial" w:cs="Arial" w:hint="default"/>
          <w:color w:val="auto"/>
          <w:sz w:val="22"/>
        </w:rPr>
      </w:lvl>
    </w:lvlOverride>
    <w:lvlOverride w:ilvl="5">
      <w:lvl w:ilvl="5">
        <w:start w:val="1"/>
        <w:numFmt w:val="decimal"/>
        <w:lvlText w:val="%1.%2.%3.%4.%5.%6"/>
        <w:lvlJc w:val="left"/>
        <w:pPr>
          <w:ind w:left="1440" w:hanging="1440"/>
        </w:pPr>
        <w:rPr>
          <w:rFonts w:ascii="Arial" w:hAnsi="Arial" w:cs="Arial" w:hint="default"/>
          <w:color w:val="auto"/>
          <w:sz w:val="22"/>
        </w:rPr>
      </w:lvl>
    </w:lvlOverride>
    <w:lvlOverride w:ilvl="6">
      <w:lvl w:ilvl="6">
        <w:start w:val="1"/>
        <w:numFmt w:val="decimal"/>
        <w:lvlText w:val="%1.%2.%3.%4.%5.%6.%7"/>
        <w:lvlJc w:val="left"/>
        <w:pPr>
          <w:ind w:left="1440" w:hanging="1440"/>
        </w:pPr>
        <w:rPr>
          <w:rFonts w:ascii="Arial" w:hAnsi="Arial" w:cs="Arial" w:hint="default"/>
          <w:color w:val="auto"/>
          <w:sz w:val="22"/>
        </w:rPr>
      </w:lvl>
    </w:lvlOverride>
    <w:lvlOverride w:ilvl="7">
      <w:lvl w:ilvl="7">
        <w:start w:val="1"/>
        <w:numFmt w:val="decimal"/>
        <w:lvlText w:val="%1.%2.%3.%4.%5.%6.%7.%8"/>
        <w:lvlJc w:val="left"/>
        <w:pPr>
          <w:ind w:left="1800" w:hanging="1800"/>
        </w:pPr>
        <w:rPr>
          <w:rFonts w:ascii="Arial" w:hAnsi="Arial" w:cs="Arial" w:hint="default"/>
          <w:color w:val="auto"/>
          <w:sz w:val="22"/>
        </w:rPr>
      </w:lvl>
    </w:lvlOverride>
    <w:lvlOverride w:ilvl="8">
      <w:lvl w:ilvl="8">
        <w:start w:val="1"/>
        <w:numFmt w:val="decimal"/>
        <w:lvlText w:val="%1.%2.%3.%4.%5.%6.%7.%8.%9"/>
        <w:lvlJc w:val="left"/>
        <w:pPr>
          <w:ind w:left="1800" w:hanging="1800"/>
        </w:pPr>
        <w:rPr>
          <w:rFonts w:ascii="Arial" w:hAnsi="Arial" w:cs="Arial" w:hint="default"/>
          <w:color w:val="auto"/>
          <w:sz w:val="22"/>
        </w:rPr>
      </w:lvl>
    </w:lvlOverride>
  </w:num>
  <w:num w:numId="47" w16cid:durableId="1938633525">
    <w:abstractNumId w:val="41"/>
    <w:lvlOverride w:ilvl="0">
      <w:lvl w:ilvl="0">
        <w:start w:val="1"/>
        <w:numFmt w:val="decimal"/>
        <w:lvlText w:val="%1"/>
        <w:lvlJc w:val="left"/>
        <w:pPr>
          <w:ind w:left="660" w:hanging="660"/>
        </w:pPr>
        <w:rPr>
          <w:rFonts w:ascii="Arial" w:hAnsi="Arial" w:cs="Arial" w:hint="default"/>
          <w:color w:val="auto"/>
          <w:sz w:val="22"/>
        </w:rPr>
      </w:lvl>
    </w:lvlOverride>
    <w:lvlOverride w:ilvl="1">
      <w:lvl w:ilvl="1">
        <w:start w:val="1"/>
        <w:numFmt w:val="decimal"/>
        <w:lvlText w:val="%1.%2"/>
        <w:lvlJc w:val="left"/>
        <w:pPr>
          <w:ind w:left="660" w:hanging="660"/>
        </w:pPr>
        <w:rPr>
          <w:rFonts w:ascii="Arial" w:hAnsi="Arial" w:cs="Arial" w:hint="default"/>
          <w:color w:val="auto"/>
          <w:sz w:val="22"/>
        </w:rPr>
      </w:lvl>
    </w:lvlOverride>
    <w:lvlOverride w:ilvl="2">
      <w:lvl w:ilvl="2">
        <w:start w:val="2"/>
        <w:numFmt w:val="decimal"/>
        <w:lvlText w:val="%1.%2.%3"/>
        <w:lvlJc w:val="left"/>
        <w:pPr>
          <w:ind w:left="720" w:hanging="720"/>
        </w:pPr>
        <w:rPr>
          <w:rFonts w:ascii="Arial" w:hAnsi="Arial" w:cs="Arial" w:hint="default"/>
          <w:color w:val="auto"/>
          <w:sz w:val="22"/>
        </w:rPr>
      </w:lvl>
    </w:lvlOverride>
    <w:lvlOverride w:ilvl="3">
      <w:lvl w:ilvl="3">
        <w:start w:val="1"/>
        <w:numFmt w:val="decimal"/>
        <w:lvlText w:val="%1.%2.3.11"/>
        <w:lvlJc w:val="left"/>
        <w:pPr>
          <w:ind w:left="720" w:hanging="720"/>
        </w:pPr>
        <w:rPr>
          <w:rFonts w:ascii="Arial" w:hAnsi="Arial" w:cs="Arial" w:hint="default"/>
          <w:color w:val="auto"/>
          <w:sz w:val="22"/>
        </w:rPr>
      </w:lvl>
    </w:lvlOverride>
    <w:lvlOverride w:ilvl="4">
      <w:lvl w:ilvl="4">
        <w:start w:val="1"/>
        <w:numFmt w:val="decimal"/>
        <w:lvlText w:val="%1.%2.%3.%4.%5"/>
        <w:lvlJc w:val="left"/>
        <w:pPr>
          <w:ind w:left="1080" w:hanging="1080"/>
        </w:pPr>
        <w:rPr>
          <w:rFonts w:ascii="Arial" w:hAnsi="Arial" w:cs="Arial" w:hint="default"/>
          <w:color w:val="auto"/>
          <w:sz w:val="22"/>
        </w:rPr>
      </w:lvl>
    </w:lvlOverride>
    <w:lvlOverride w:ilvl="5">
      <w:lvl w:ilvl="5">
        <w:start w:val="1"/>
        <w:numFmt w:val="decimal"/>
        <w:lvlText w:val="%1.%2.%3.%4.%5.%6"/>
        <w:lvlJc w:val="left"/>
        <w:pPr>
          <w:ind w:left="1440" w:hanging="1440"/>
        </w:pPr>
        <w:rPr>
          <w:rFonts w:ascii="Arial" w:hAnsi="Arial" w:cs="Arial" w:hint="default"/>
          <w:color w:val="auto"/>
          <w:sz w:val="22"/>
        </w:rPr>
      </w:lvl>
    </w:lvlOverride>
    <w:lvlOverride w:ilvl="6">
      <w:lvl w:ilvl="6">
        <w:start w:val="1"/>
        <w:numFmt w:val="decimal"/>
        <w:lvlText w:val="%1.%2.%3.%4.%5.%6.%7"/>
        <w:lvlJc w:val="left"/>
        <w:pPr>
          <w:ind w:left="1440" w:hanging="1440"/>
        </w:pPr>
        <w:rPr>
          <w:rFonts w:ascii="Arial" w:hAnsi="Arial" w:cs="Arial" w:hint="default"/>
          <w:color w:val="auto"/>
          <w:sz w:val="22"/>
        </w:rPr>
      </w:lvl>
    </w:lvlOverride>
    <w:lvlOverride w:ilvl="7">
      <w:lvl w:ilvl="7">
        <w:start w:val="1"/>
        <w:numFmt w:val="decimal"/>
        <w:lvlText w:val="%1.%2.%3.%4.%5.%6.%7.%8"/>
        <w:lvlJc w:val="left"/>
        <w:pPr>
          <w:ind w:left="1800" w:hanging="1800"/>
        </w:pPr>
        <w:rPr>
          <w:rFonts w:ascii="Arial" w:hAnsi="Arial" w:cs="Arial" w:hint="default"/>
          <w:color w:val="auto"/>
          <w:sz w:val="22"/>
        </w:rPr>
      </w:lvl>
    </w:lvlOverride>
    <w:lvlOverride w:ilvl="8">
      <w:lvl w:ilvl="8">
        <w:start w:val="1"/>
        <w:numFmt w:val="decimal"/>
        <w:lvlText w:val="%1.%2.%3.%4.%5.%6.%7.%8.%9"/>
        <w:lvlJc w:val="left"/>
        <w:pPr>
          <w:ind w:left="1800" w:hanging="1800"/>
        </w:pPr>
        <w:rPr>
          <w:rFonts w:ascii="Arial" w:hAnsi="Arial" w:cs="Arial" w:hint="default"/>
          <w:color w:val="auto"/>
          <w:sz w:val="22"/>
        </w:rPr>
      </w:lvl>
    </w:lvlOverride>
  </w:num>
  <w:num w:numId="48" w16cid:durableId="1190947669">
    <w:abstractNumId w:val="41"/>
    <w:lvlOverride w:ilvl="0">
      <w:lvl w:ilvl="0">
        <w:start w:val="1"/>
        <w:numFmt w:val="decimal"/>
        <w:lvlText w:val="%1"/>
        <w:lvlJc w:val="left"/>
        <w:pPr>
          <w:ind w:left="660" w:hanging="660"/>
        </w:pPr>
        <w:rPr>
          <w:rFonts w:ascii="Arial" w:hAnsi="Arial" w:cs="Arial" w:hint="default"/>
          <w:color w:val="auto"/>
          <w:sz w:val="22"/>
        </w:rPr>
      </w:lvl>
    </w:lvlOverride>
    <w:lvlOverride w:ilvl="1">
      <w:lvl w:ilvl="1">
        <w:start w:val="1"/>
        <w:numFmt w:val="decimal"/>
        <w:lvlText w:val="%1.%2"/>
        <w:lvlJc w:val="left"/>
        <w:pPr>
          <w:ind w:left="660" w:hanging="660"/>
        </w:pPr>
        <w:rPr>
          <w:rFonts w:ascii="Arial" w:hAnsi="Arial" w:cs="Arial" w:hint="default"/>
          <w:color w:val="auto"/>
          <w:sz w:val="22"/>
        </w:rPr>
      </w:lvl>
    </w:lvlOverride>
    <w:lvlOverride w:ilvl="2">
      <w:lvl w:ilvl="2">
        <w:start w:val="2"/>
        <w:numFmt w:val="decimal"/>
        <w:lvlText w:val="%1.%2.%3"/>
        <w:lvlJc w:val="left"/>
        <w:pPr>
          <w:ind w:left="720" w:hanging="720"/>
        </w:pPr>
        <w:rPr>
          <w:rFonts w:ascii="Arial" w:hAnsi="Arial" w:cs="Arial" w:hint="default"/>
          <w:color w:val="auto"/>
          <w:sz w:val="22"/>
        </w:rPr>
      </w:lvl>
    </w:lvlOverride>
    <w:lvlOverride w:ilvl="3">
      <w:lvl w:ilvl="3">
        <w:start w:val="1"/>
        <w:numFmt w:val="decimal"/>
        <w:lvlText w:val="%1.%2.3.12"/>
        <w:lvlJc w:val="left"/>
        <w:pPr>
          <w:ind w:left="720" w:hanging="720"/>
        </w:pPr>
        <w:rPr>
          <w:rFonts w:ascii="Arial" w:hAnsi="Arial" w:cs="Arial" w:hint="default"/>
          <w:color w:val="auto"/>
          <w:sz w:val="22"/>
        </w:rPr>
      </w:lvl>
    </w:lvlOverride>
    <w:lvlOverride w:ilvl="4">
      <w:lvl w:ilvl="4">
        <w:start w:val="1"/>
        <w:numFmt w:val="decimal"/>
        <w:lvlText w:val="%1.%2.%3.%4.%5"/>
        <w:lvlJc w:val="left"/>
        <w:pPr>
          <w:ind w:left="1080" w:hanging="1080"/>
        </w:pPr>
        <w:rPr>
          <w:rFonts w:ascii="Arial" w:hAnsi="Arial" w:cs="Arial" w:hint="default"/>
          <w:color w:val="auto"/>
          <w:sz w:val="22"/>
        </w:rPr>
      </w:lvl>
    </w:lvlOverride>
    <w:lvlOverride w:ilvl="5">
      <w:lvl w:ilvl="5">
        <w:start w:val="1"/>
        <w:numFmt w:val="decimal"/>
        <w:lvlText w:val="%1.%2.%3.%4.%5.%6"/>
        <w:lvlJc w:val="left"/>
        <w:pPr>
          <w:ind w:left="1440" w:hanging="1440"/>
        </w:pPr>
        <w:rPr>
          <w:rFonts w:ascii="Arial" w:hAnsi="Arial" w:cs="Arial" w:hint="default"/>
          <w:color w:val="auto"/>
          <w:sz w:val="22"/>
        </w:rPr>
      </w:lvl>
    </w:lvlOverride>
    <w:lvlOverride w:ilvl="6">
      <w:lvl w:ilvl="6">
        <w:start w:val="1"/>
        <w:numFmt w:val="decimal"/>
        <w:lvlText w:val="%1.%2.%3.%4.%5.%6.%7"/>
        <w:lvlJc w:val="left"/>
        <w:pPr>
          <w:ind w:left="1440" w:hanging="1440"/>
        </w:pPr>
        <w:rPr>
          <w:rFonts w:ascii="Arial" w:hAnsi="Arial" w:cs="Arial" w:hint="default"/>
          <w:color w:val="auto"/>
          <w:sz w:val="22"/>
        </w:rPr>
      </w:lvl>
    </w:lvlOverride>
    <w:lvlOverride w:ilvl="7">
      <w:lvl w:ilvl="7">
        <w:start w:val="1"/>
        <w:numFmt w:val="decimal"/>
        <w:lvlText w:val="%1.%2.%3.%4.%5.%6.%7.%8"/>
        <w:lvlJc w:val="left"/>
        <w:pPr>
          <w:ind w:left="1800" w:hanging="1800"/>
        </w:pPr>
        <w:rPr>
          <w:rFonts w:ascii="Arial" w:hAnsi="Arial" w:cs="Arial" w:hint="default"/>
          <w:color w:val="auto"/>
          <w:sz w:val="22"/>
        </w:rPr>
      </w:lvl>
    </w:lvlOverride>
    <w:lvlOverride w:ilvl="8">
      <w:lvl w:ilvl="8">
        <w:start w:val="1"/>
        <w:numFmt w:val="decimal"/>
        <w:lvlText w:val="%1.%2.%3.%4.%5.%6.%7.%8.%9"/>
        <w:lvlJc w:val="left"/>
        <w:pPr>
          <w:ind w:left="1800" w:hanging="1800"/>
        </w:pPr>
        <w:rPr>
          <w:rFonts w:ascii="Arial" w:hAnsi="Arial" w:cs="Arial" w:hint="default"/>
          <w:color w:val="auto"/>
          <w:sz w:val="22"/>
        </w:rPr>
      </w:lvl>
    </w:lvlOverride>
  </w:num>
  <w:num w:numId="49" w16cid:durableId="1078480940">
    <w:abstractNumId w:val="41"/>
    <w:lvlOverride w:ilvl="0">
      <w:lvl w:ilvl="0">
        <w:start w:val="1"/>
        <w:numFmt w:val="decimal"/>
        <w:lvlText w:val="%1"/>
        <w:lvlJc w:val="left"/>
        <w:pPr>
          <w:ind w:left="660" w:hanging="660"/>
        </w:pPr>
        <w:rPr>
          <w:rFonts w:ascii="Arial" w:hAnsi="Arial" w:cs="Arial" w:hint="default"/>
          <w:color w:val="auto"/>
          <w:sz w:val="22"/>
        </w:rPr>
      </w:lvl>
    </w:lvlOverride>
    <w:lvlOverride w:ilvl="1">
      <w:lvl w:ilvl="1">
        <w:start w:val="1"/>
        <w:numFmt w:val="decimal"/>
        <w:lvlText w:val="%1.%2"/>
        <w:lvlJc w:val="left"/>
        <w:pPr>
          <w:ind w:left="660" w:hanging="660"/>
        </w:pPr>
        <w:rPr>
          <w:rFonts w:ascii="Arial" w:hAnsi="Arial" w:cs="Arial" w:hint="default"/>
          <w:color w:val="auto"/>
          <w:sz w:val="22"/>
        </w:rPr>
      </w:lvl>
    </w:lvlOverride>
    <w:lvlOverride w:ilvl="2">
      <w:lvl w:ilvl="2">
        <w:start w:val="2"/>
        <w:numFmt w:val="decimal"/>
        <w:lvlText w:val="%1.%2.%3"/>
        <w:lvlJc w:val="left"/>
        <w:pPr>
          <w:ind w:left="720" w:hanging="720"/>
        </w:pPr>
        <w:rPr>
          <w:rFonts w:ascii="Arial" w:hAnsi="Arial" w:cs="Arial" w:hint="default"/>
          <w:color w:val="auto"/>
          <w:sz w:val="22"/>
        </w:rPr>
      </w:lvl>
    </w:lvlOverride>
    <w:lvlOverride w:ilvl="3">
      <w:lvl w:ilvl="3">
        <w:start w:val="1"/>
        <w:numFmt w:val="decimal"/>
        <w:lvlText w:val="%1.%2.3.13"/>
        <w:lvlJc w:val="left"/>
        <w:pPr>
          <w:ind w:left="720" w:hanging="720"/>
        </w:pPr>
        <w:rPr>
          <w:rFonts w:ascii="Arial" w:hAnsi="Arial" w:cs="Arial" w:hint="default"/>
          <w:color w:val="auto"/>
          <w:sz w:val="22"/>
        </w:rPr>
      </w:lvl>
    </w:lvlOverride>
    <w:lvlOverride w:ilvl="4">
      <w:lvl w:ilvl="4">
        <w:start w:val="1"/>
        <w:numFmt w:val="decimal"/>
        <w:lvlText w:val="%1.%2.%3.%4.%5"/>
        <w:lvlJc w:val="left"/>
        <w:pPr>
          <w:ind w:left="1080" w:hanging="1080"/>
        </w:pPr>
        <w:rPr>
          <w:rFonts w:ascii="Arial" w:hAnsi="Arial" w:cs="Arial" w:hint="default"/>
          <w:color w:val="auto"/>
          <w:sz w:val="22"/>
        </w:rPr>
      </w:lvl>
    </w:lvlOverride>
    <w:lvlOverride w:ilvl="5">
      <w:lvl w:ilvl="5">
        <w:start w:val="1"/>
        <w:numFmt w:val="decimal"/>
        <w:lvlText w:val="%1.%2.%3.%4.%5.%6"/>
        <w:lvlJc w:val="left"/>
        <w:pPr>
          <w:ind w:left="1440" w:hanging="1440"/>
        </w:pPr>
        <w:rPr>
          <w:rFonts w:ascii="Arial" w:hAnsi="Arial" w:cs="Arial" w:hint="default"/>
          <w:color w:val="auto"/>
          <w:sz w:val="22"/>
        </w:rPr>
      </w:lvl>
    </w:lvlOverride>
    <w:lvlOverride w:ilvl="6">
      <w:lvl w:ilvl="6">
        <w:start w:val="1"/>
        <w:numFmt w:val="decimal"/>
        <w:lvlText w:val="%1.%2.%3.%4.%5.%6.%7"/>
        <w:lvlJc w:val="left"/>
        <w:pPr>
          <w:ind w:left="1440" w:hanging="1440"/>
        </w:pPr>
        <w:rPr>
          <w:rFonts w:ascii="Arial" w:hAnsi="Arial" w:cs="Arial" w:hint="default"/>
          <w:color w:val="auto"/>
          <w:sz w:val="22"/>
        </w:rPr>
      </w:lvl>
    </w:lvlOverride>
    <w:lvlOverride w:ilvl="7">
      <w:lvl w:ilvl="7">
        <w:start w:val="1"/>
        <w:numFmt w:val="decimal"/>
        <w:lvlText w:val="%1.%2.%3.%4.%5.%6.%7.%8"/>
        <w:lvlJc w:val="left"/>
        <w:pPr>
          <w:ind w:left="1800" w:hanging="1800"/>
        </w:pPr>
        <w:rPr>
          <w:rFonts w:ascii="Arial" w:hAnsi="Arial" w:cs="Arial" w:hint="default"/>
          <w:color w:val="auto"/>
          <w:sz w:val="22"/>
        </w:rPr>
      </w:lvl>
    </w:lvlOverride>
    <w:lvlOverride w:ilvl="8">
      <w:lvl w:ilvl="8">
        <w:start w:val="1"/>
        <w:numFmt w:val="decimal"/>
        <w:lvlText w:val="%1.%2.%3.%4.%5.%6.%7.%8.%9"/>
        <w:lvlJc w:val="left"/>
        <w:pPr>
          <w:ind w:left="1800" w:hanging="1800"/>
        </w:pPr>
        <w:rPr>
          <w:rFonts w:ascii="Arial" w:hAnsi="Arial" w:cs="Arial" w:hint="default"/>
          <w:color w:val="auto"/>
          <w:sz w:val="22"/>
        </w:rPr>
      </w:lvl>
    </w:lvlOverride>
  </w:num>
  <w:num w:numId="50" w16cid:durableId="121074107">
    <w:abstractNumId w:val="41"/>
    <w:lvlOverride w:ilvl="0">
      <w:lvl w:ilvl="0">
        <w:start w:val="1"/>
        <w:numFmt w:val="decimal"/>
        <w:lvlText w:val="%1"/>
        <w:lvlJc w:val="left"/>
        <w:pPr>
          <w:ind w:left="660" w:hanging="660"/>
        </w:pPr>
        <w:rPr>
          <w:rFonts w:ascii="Arial" w:hAnsi="Arial" w:cs="Arial" w:hint="default"/>
          <w:color w:val="auto"/>
          <w:sz w:val="22"/>
        </w:rPr>
      </w:lvl>
    </w:lvlOverride>
    <w:lvlOverride w:ilvl="1">
      <w:lvl w:ilvl="1">
        <w:start w:val="1"/>
        <w:numFmt w:val="decimal"/>
        <w:lvlText w:val="%1.%2"/>
        <w:lvlJc w:val="left"/>
        <w:pPr>
          <w:ind w:left="660" w:hanging="660"/>
        </w:pPr>
        <w:rPr>
          <w:rFonts w:ascii="Arial" w:hAnsi="Arial" w:cs="Arial" w:hint="default"/>
          <w:color w:val="auto"/>
          <w:sz w:val="22"/>
        </w:rPr>
      </w:lvl>
    </w:lvlOverride>
    <w:lvlOverride w:ilvl="2">
      <w:lvl w:ilvl="2">
        <w:start w:val="2"/>
        <w:numFmt w:val="decimal"/>
        <w:lvlText w:val="%1.%2.%3"/>
        <w:lvlJc w:val="left"/>
        <w:pPr>
          <w:ind w:left="720" w:hanging="720"/>
        </w:pPr>
        <w:rPr>
          <w:rFonts w:ascii="Arial" w:hAnsi="Arial" w:cs="Arial" w:hint="default"/>
          <w:color w:val="auto"/>
          <w:sz w:val="22"/>
        </w:rPr>
      </w:lvl>
    </w:lvlOverride>
    <w:lvlOverride w:ilvl="3">
      <w:lvl w:ilvl="3">
        <w:start w:val="1"/>
        <w:numFmt w:val="decimal"/>
        <w:lvlText w:val="%1.%2.3.14"/>
        <w:lvlJc w:val="left"/>
        <w:pPr>
          <w:ind w:left="720" w:hanging="720"/>
        </w:pPr>
        <w:rPr>
          <w:rFonts w:ascii="Arial" w:hAnsi="Arial" w:cs="Arial" w:hint="default"/>
          <w:color w:val="auto"/>
          <w:sz w:val="22"/>
        </w:rPr>
      </w:lvl>
    </w:lvlOverride>
    <w:lvlOverride w:ilvl="4">
      <w:lvl w:ilvl="4">
        <w:start w:val="1"/>
        <w:numFmt w:val="decimal"/>
        <w:lvlText w:val="%1.%2.%3.%4.%5"/>
        <w:lvlJc w:val="left"/>
        <w:pPr>
          <w:ind w:left="1080" w:hanging="1080"/>
        </w:pPr>
        <w:rPr>
          <w:rFonts w:ascii="Arial" w:hAnsi="Arial" w:cs="Arial" w:hint="default"/>
          <w:color w:val="auto"/>
          <w:sz w:val="22"/>
        </w:rPr>
      </w:lvl>
    </w:lvlOverride>
    <w:lvlOverride w:ilvl="5">
      <w:lvl w:ilvl="5">
        <w:start w:val="1"/>
        <w:numFmt w:val="decimal"/>
        <w:lvlText w:val="%1.%2.%3.%4.%5.%6"/>
        <w:lvlJc w:val="left"/>
        <w:pPr>
          <w:ind w:left="1440" w:hanging="1440"/>
        </w:pPr>
        <w:rPr>
          <w:rFonts w:ascii="Arial" w:hAnsi="Arial" w:cs="Arial" w:hint="default"/>
          <w:color w:val="auto"/>
          <w:sz w:val="22"/>
        </w:rPr>
      </w:lvl>
    </w:lvlOverride>
    <w:lvlOverride w:ilvl="6">
      <w:lvl w:ilvl="6">
        <w:start w:val="1"/>
        <w:numFmt w:val="decimal"/>
        <w:lvlText w:val="%1.%2.%3.%4.%5.%6.%7"/>
        <w:lvlJc w:val="left"/>
        <w:pPr>
          <w:ind w:left="1440" w:hanging="1440"/>
        </w:pPr>
        <w:rPr>
          <w:rFonts w:ascii="Arial" w:hAnsi="Arial" w:cs="Arial" w:hint="default"/>
          <w:color w:val="auto"/>
          <w:sz w:val="22"/>
        </w:rPr>
      </w:lvl>
    </w:lvlOverride>
    <w:lvlOverride w:ilvl="7">
      <w:lvl w:ilvl="7">
        <w:start w:val="1"/>
        <w:numFmt w:val="decimal"/>
        <w:lvlText w:val="%1.%2.%3.%4.%5.%6.%7.%8"/>
        <w:lvlJc w:val="left"/>
        <w:pPr>
          <w:ind w:left="1800" w:hanging="1800"/>
        </w:pPr>
        <w:rPr>
          <w:rFonts w:ascii="Arial" w:hAnsi="Arial" w:cs="Arial" w:hint="default"/>
          <w:color w:val="auto"/>
          <w:sz w:val="22"/>
        </w:rPr>
      </w:lvl>
    </w:lvlOverride>
    <w:lvlOverride w:ilvl="8">
      <w:lvl w:ilvl="8">
        <w:start w:val="1"/>
        <w:numFmt w:val="decimal"/>
        <w:lvlText w:val="%1.%2.%3.%4.%5.%6.%7.%8.%9"/>
        <w:lvlJc w:val="left"/>
        <w:pPr>
          <w:ind w:left="1800" w:hanging="1800"/>
        </w:pPr>
        <w:rPr>
          <w:rFonts w:ascii="Arial" w:hAnsi="Arial" w:cs="Arial" w:hint="default"/>
          <w:color w:val="auto"/>
          <w:sz w:val="22"/>
        </w:rPr>
      </w:lvl>
    </w:lvlOverride>
  </w:num>
  <w:num w:numId="51" w16cid:durableId="1675188545">
    <w:abstractNumId w:val="41"/>
    <w:lvlOverride w:ilvl="0">
      <w:lvl w:ilvl="0">
        <w:start w:val="1"/>
        <w:numFmt w:val="decimal"/>
        <w:lvlText w:val="%1"/>
        <w:lvlJc w:val="left"/>
        <w:pPr>
          <w:ind w:left="660" w:hanging="660"/>
        </w:pPr>
        <w:rPr>
          <w:rFonts w:ascii="Arial" w:hAnsi="Arial" w:cs="Arial" w:hint="default"/>
          <w:color w:val="auto"/>
          <w:sz w:val="22"/>
        </w:rPr>
      </w:lvl>
    </w:lvlOverride>
    <w:lvlOverride w:ilvl="1">
      <w:lvl w:ilvl="1">
        <w:start w:val="1"/>
        <w:numFmt w:val="decimal"/>
        <w:lvlText w:val="%1.%2"/>
        <w:lvlJc w:val="left"/>
        <w:pPr>
          <w:ind w:left="660" w:hanging="660"/>
        </w:pPr>
        <w:rPr>
          <w:rFonts w:ascii="Arial" w:hAnsi="Arial" w:cs="Arial" w:hint="default"/>
          <w:color w:val="auto"/>
          <w:sz w:val="22"/>
        </w:rPr>
      </w:lvl>
    </w:lvlOverride>
    <w:lvlOverride w:ilvl="2">
      <w:lvl w:ilvl="2">
        <w:start w:val="2"/>
        <w:numFmt w:val="decimal"/>
        <w:lvlText w:val="%1.%2.%3"/>
        <w:lvlJc w:val="left"/>
        <w:pPr>
          <w:ind w:left="720" w:hanging="720"/>
        </w:pPr>
        <w:rPr>
          <w:rFonts w:ascii="Arial" w:hAnsi="Arial" w:cs="Arial" w:hint="default"/>
          <w:color w:val="auto"/>
          <w:sz w:val="22"/>
        </w:rPr>
      </w:lvl>
    </w:lvlOverride>
    <w:lvlOverride w:ilvl="3">
      <w:lvl w:ilvl="3">
        <w:start w:val="1"/>
        <w:numFmt w:val="decimal"/>
        <w:lvlText w:val="%1.%2.3.15"/>
        <w:lvlJc w:val="left"/>
        <w:pPr>
          <w:ind w:left="720" w:hanging="720"/>
        </w:pPr>
        <w:rPr>
          <w:rFonts w:ascii="Arial" w:hAnsi="Arial" w:cs="Arial" w:hint="default"/>
          <w:color w:val="auto"/>
          <w:sz w:val="22"/>
        </w:rPr>
      </w:lvl>
    </w:lvlOverride>
    <w:lvlOverride w:ilvl="4">
      <w:lvl w:ilvl="4">
        <w:start w:val="1"/>
        <w:numFmt w:val="decimal"/>
        <w:lvlText w:val="%1.%2.%3.%4.%5"/>
        <w:lvlJc w:val="left"/>
        <w:pPr>
          <w:ind w:left="1080" w:hanging="1080"/>
        </w:pPr>
        <w:rPr>
          <w:rFonts w:ascii="Arial" w:hAnsi="Arial" w:cs="Arial" w:hint="default"/>
          <w:color w:val="auto"/>
          <w:sz w:val="22"/>
        </w:rPr>
      </w:lvl>
    </w:lvlOverride>
    <w:lvlOverride w:ilvl="5">
      <w:lvl w:ilvl="5">
        <w:start w:val="1"/>
        <w:numFmt w:val="decimal"/>
        <w:lvlText w:val="%1.%2.%3.%4.%5.%6"/>
        <w:lvlJc w:val="left"/>
        <w:pPr>
          <w:ind w:left="1440" w:hanging="1440"/>
        </w:pPr>
        <w:rPr>
          <w:rFonts w:ascii="Arial" w:hAnsi="Arial" w:cs="Arial" w:hint="default"/>
          <w:color w:val="auto"/>
          <w:sz w:val="22"/>
        </w:rPr>
      </w:lvl>
    </w:lvlOverride>
    <w:lvlOverride w:ilvl="6">
      <w:lvl w:ilvl="6">
        <w:start w:val="1"/>
        <w:numFmt w:val="decimal"/>
        <w:lvlText w:val="%1.%2.%3.%4.%5.%6.%7"/>
        <w:lvlJc w:val="left"/>
        <w:pPr>
          <w:ind w:left="1440" w:hanging="1440"/>
        </w:pPr>
        <w:rPr>
          <w:rFonts w:ascii="Arial" w:hAnsi="Arial" w:cs="Arial" w:hint="default"/>
          <w:color w:val="auto"/>
          <w:sz w:val="22"/>
        </w:rPr>
      </w:lvl>
    </w:lvlOverride>
    <w:lvlOverride w:ilvl="7">
      <w:lvl w:ilvl="7">
        <w:start w:val="1"/>
        <w:numFmt w:val="decimal"/>
        <w:lvlText w:val="%1.%2.%3.%4.%5.%6.%7.%8"/>
        <w:lvlJc w:val="left"/>
        <w:pPr>
          <w:ind w:left="1800" w:hanging="1800"/>
        </w:pPr>
        <w:rPr>
          <w:rFonts w:ascii="Arial" w:hAnsi="Arial" w:cs="Arial" w:hint="default"/>
          <w:color w:val="auto"/>
          <w:sz w:val="22"/>
        </w:rPr>
      </w:lvl>
    </w:lvlOverride>
    <w:lvlOverride w:ilvl="8">
      <w:lvl w:ilvl="8">
        <w:start w:val="1"/>
        <w:numFmt w:val="decimal"/>
        <w:lvlText w:val="%1.%2.%3.%4.%5.%6.%7.%8.%9"/>
        <w:lvlJc w:val="left"/>
        <w:pPr>
          <w:ind w:left="1800" w:hanging="1800"/>
        </w:pPr>
        <w:rPr>
          <w:rFonts w:ascii="Arial" w:hAnsi="Arial" w:cs="Arial" w:hint="default"/>
          <w:color w:val="auto"/>
          <w:sz w:val="22"/>
        </w:rPr>
      </w:lvl>
    </w:lvlOverride>
  </w:num>
  <w:num w:numId="52" w16cid:durableId="815530376">
    <w:abstractNumId w:val="41"/>
    <w:lvlOverride w:ilvl="0">
      <w:lvl w:ilvl="0">
        <w:start w:val="1"/>
        <w:numFmt w:val="decimal"/>
        <w:lvlText w:val="%1"/>
        <w:lvlJc w:val="left"/>
        <w:pPr>
          <w:ind w:left="660" w:hanging="660"/>
        </w:pPr>
        <w:rPr>
          <w:rFonts w:ascii="Arial" w:hAnsi="Arial" w:cs="Arial" w:hint="default"/>
          <w:color w:val="auto"/>
          <w:sz w:val="22"/>
        </w:rPr>
      </w:lvl>
    </w:lvlOverride>
    <w:lvlOverride w:ilvl="1">
      <w:lvl w:ilvl="1">
        <w:start w:val="1"/>
        <w:numFmt w:val="decimal"/>
        <w:lvlText w:val="%1.%2"/>
        <w:lvlJc w:val="left"/>
        <w:pPr>
          <w:ind w:left="660" w:hanging="660"/>
        </w:pPr>
        <w:rPr>
          <w:rFonts w:ascii="Arial" w:hAnsi="Arial" w:cs="Arial" w:hint="default"/>
          <w:color w:val="auto"/>
          <w:sz w:val="22"/>
        </w:rPr>
      </w:lvl>
    </w:lvlOverride>
    <w:lvlOverride w:ilvl="2">
      <w:lvl w:ilvl="2">
        <w:start w:val="2"/>
        <w:numFmt w:val="decimal"/>
        <w:lvlText w:val="%1.%2.%3"/>
        <w:lvlJc w:val="left"/>
        <w:pPr>
          <w:ind w:left="720" w:hanging="720"/>
        </w:pPr>
        <w:rPr>
          <w:rFonts w:ascii="Arial" w:hAnsi="Arial" w:cs="Arial" w:hint="default"/>
          <w:color w:val="auto"/>
          <w:sz w:val="22"/>
        </w:rPr>
      </w:lvl>
    </w:lvlOverride>
    <w:lvlOverride w:ilvl="3">
      <w:lvl w:ilvl="3">
        <w:start w:val="1"/>
        <w:numFmt w:val="decimal"/>
        <w:lvlText w:val="%1.%2.3.16"/>
        <w:lvlJc w:val="left"/>
        <w:pPr>
          <w:ind w:left="720" w:hanging="720"/>
        </w:pPr>
        <w:rPr>
          <w:rFonts w:ascii="Arial" w:hAnsi="Arial" w:cs="Arial" w:hint="default"/>
          <w:color w:val="auto"/>
          <w:sz w:val="22"/>
        </w:rPr>
      </w:lvl>
    </w:lvlOverride>
    <w:lvlOverride w:ilvl="4">
      <w:lvl w:ilvl="4">
        <w:start w:val="1"/>
        <w:numFmt w:val="decimal"/>
        <w:lvlText w:val="%1.%2.%3.%4.%5"/>
        <w:lvlJc w:val="left"/>
        <w:pPr>
          <w:ind w:left="1080" w:hanging="1080"/>
        </w:pPr>
        <w:rPr>
          <w:rFonts w:ascii="Arial" w:hAnsi="Arial" w:cs="Arial" w:hint="default"/>
          <w:color w:val="auto"/>
          <w:sz w:val="22"/>
        </w:rPr>
      </w:lvl>
    </w:lvlOverride>
    <w:lvlOverride w:ilvl="5">
      <w:lvl w:ilvl="5">
        <w:start w:val="1"/>
        <w:numFmt w:val="decimal"/>
        <w:lvlText w:val="%1.%2.%3.%4.%5.%6"/>
        <w:lvlJc w:val="left"/>
        <w:pPr>
          <w:ind w:left="1440" w:hanging="1440"/>
        </w:pPr>
        <w:rPr>
          <w:rFonts w:ascii="Arial" w:hAnsi="Arial" w:cs="Arial" w:hint="default"/>
          <w:color w:val="auto"/>
          <w:sz w:val="22"/>
        </w:rPr>
      </w:lvl>
    </w:lvlOverride>
    <w:lvlOverride w:ilvl="6">
      <w:lvl w:ilvl="6">
        <w:start w:val="1"/>
        <w:numFmt w:val="decimal"/>
        <w:lvlText w:val="%1.%2.%3.%4.%5.%6.%7"/>
        <w:lvlJc w:val="left"/>
        <w:pPr>
          <w:ind w:left="1440" w:hanging="1440"/>
        </w:pPr>
        <w:rPr>
          <w:rFonts w:ascii="Arial" w:hAnsi="Arial" w:cs="Arial" w:hint="default"/>
          <w:color w:val="auto"/>
          <w:sz w:val="22"/>
        </w:rPr>
      </w:lvl>
    </w:lvlOverride>
    <w:lvlOverride w:ilvl="7">
      <w:lvl w:ilvl="7">
        <w:start w:val="1"/>
        <w:numFmt w:val="decimal"/>
        <w:lvlText w:val="%1.%2.%3.%4.%5.%6.%7.%8"/>
        <w:lvlJc w:val="left"/>
        <w:pPr>
          <w:ind w:left="1800" w:hanging="1800"/>
        </w:pPr>
        <w:rPr>
          <w:rFonts w:ascii="Arial" w:hAnsi="Arial" w:cs="Arial" w:hint="default"/>
          <w:color w:val="auto"/>
          <w:sz w:val="22"/>
        </w:rPr>
      </w:lvl>
    </w:lvlOverride>
    <w:lvlOverride w:ilvl="8">
      <w:lvl w:ilvl="8">
        <w:start w:val="1"/>
        <w:numFmt w:val="decimal"/>
        <w:lvlText w:val="%1.%2.%3.%4.%5.%6.%7.%8.%9"/>
        <w:lvlJc w:val="left"/>
        <w:pPr>
          <w:ind w:left="1800" w:hanging="1800"/>
        </w:pPr>
        <w:rPr>
          <w:rFonts w:ascii="Arial" w:hAnsi="Arial" w:cs="Arial" w:hint="default"/>
          <w:color w:val="auto"/>
          <w:sz w:val="22"/>
        </w:rPr>
      </w:lvl>
    </w:lvlOverride>
  </w:num>
  <w:num w:numId="53" w16cid:durableId="1344474321">
    <w:abstractNumId w:val="41"/>
    <w:lvlOverride w:ilvl="0">
      <w:lvl w:ilvl="0">
        <w:start w:val="1"/>
        <w:numFmt w:val="decimal"/>
        <w:lvlText w:val="%1"/>
        <w:lvlJc w:val="left"/>
        <w:pPr>
          <w:ind w:left="660" w:hanging="660"/>
        </w:pPr>
        <w:rPr>
          <w:rFonts w:ascii="Arial" w:hAnsi="Arial" w:cs="Arial" w:hint="default"/>
          <w:color w:val="auto"/>
          <w:sz w:val="22"/>
        </w:rPr>
      </w:lvl>
    </w:lvlOverride>
    <w:lvlOverride w:ilvl="1">
      <w:lvl w:ilvl="1">
        <w:start w:val="1"/>
        <w:numFmt w:val="decimal"/>
        <w:lvlText w:val="%1.%2"/>
        <w:lvlJc w:val="left"/>
        <w:pPr>
          <w:ind w:left="660" w:hanging="660"/>
        </w:pPr>
        <w:rPr>
          <w:rFonts w:ascii="Arial" w:hAnsi="Arial" w:cs="Arial" w:hint="default"/>
          <w:color w:val="auto"/>
          <w:sz w:val="22"/>
        </w:rPr>
      </w:lvl>
    </w:lvlOverride>
    <w:lvlOverride w:ilvl="2">
      <w:lvl w:ilvl="2">
        <w:start w:val="2"/>
        <w:numFmt w:val="decimal"/>
        <w:lvlText w:val="%1.%2.%3"/>
        <w:lvlJc w:val="left"/>
        <w:pPr>
          <w:ind w:left="720" w:hanging="720"/>
        </w:pPr>
        <w:rPr>
          <w:rFonts w:ascii="Arial" w:hAnsi="Arial" w:cs="Arial" w:hint="default"/>
          <w:color w:val="auto"/>
          <w:sz w:val="22"/>
        </w:rPr>
      </w:lvl>
    </w:lvlOverride>
    <w:lvlOverride w:ilvl="3">
      <w:lvl w:ilvl="3">
        <w:start w:val="1"/>
        <w:numFmt w:val="decimal"/>
        <w:lvlText w:val="%1.%2.3.17"/>
        <w:lvlJc w:val="left"/>
        <w:pPr>
          <w:ind w:left="720" w:hanging="720"/>
        </w:pPr>
        <w:rPr>
          <w:rFonts w:ascii="Arial" w:hAnsi="Arial" w:cs="Arial" w:hint="default"/>
          <w:color w:val="auto"/>
          <w:sz w:val="22"/>
        </w:rPr>
      </w:lvl>
    </w:lvlOverride>
    <w:lvlOverride w:ilvl="4">
      <w:lvl w:ilvl="4">
        <w:start w:val="1"/>
        <w:numFmt w:val="decimal"/>
        <w:lvlText w:val="%1.%2.%3.%4.%5"/>
        <w:lvlJc w:val="left"/>
        <w:pPr>
          <w:ind w:left="1080" w:hanging="1080"/>
        </w:pPr>
        <w:rPr>
          <w:rFonts w:ascii="Arial" w:hAnsi="Arial" w:cs="Arial" w:hint="default"/>
          <w:color w:val="auto"/>
          <w:sz w:val="22"/>
        </w:rPr>
      </w:lvl>
    </w:lvlOverride>
    <w:lvlOverride w:ilvl="5">
      <w:lvl w:ilvl="5">
        <w:start w:val="1"/>
        <w:numFmt w:val="decimal"/>
        <w:lvlText w:val="%1.%2.%3.%4.%5.%6"/>
        <w:lvlJc w:val="left"/>
        <w:pPr>
          <w:ind w:left="1440" w:hanging="1440"/>
        </w:pPr>
        <w:rPr>
          <w:rFonts w:ascii="Arial" w:hAnsi="Arial" w:cs="Arial" w:hint="default"/>
          <w:color w:val="auto"/>
          <w:sz w:val="22"/>
        </w:rPr>
      </w:lvl>
    </w:lvlOverride>
    <w:lvlOverride w:ilvl="6">
      <w:lvl w:ilvl="6">
        <w:start w:val="1"/>
        <w:numFmt w:val="decimal"/>
        <w:lvlText w:val="%1.%2.%3.%4.%5.%6.%7"/>
        <w:lvlJc w:val="left"/>
        <w:pPr>
          <w:ind w:left="1440" w:hanging="1440"/>
        </w:pPr>
        <w:rPr>
          <w:rFonts w:ascii="Arial" w:hAnsi="Arial" w:cs="Arial" w:hint="default"/>
          <w:color w:val="auto"/>
          <w:sz w:val="22"/>
        </w:rPr>
      </w:lvl>
    </w:lvlOverride>
    <w:lvlOverride w:ilvl="7">
      <w:lvl w:ilvl="7">
        <w:start w:val="1"/>
        <w:numFmt w:val="decimal"/>
        <w:lvlText w:val="%1.%2.%3.%4.%5.%6.%7.%8"/>
        <w:lvlJc w:val="left"/>
        <w:pPr>
          <w:ind w:left="1800" w:hanging="1800"/>
        </w:pPr>
        <w:rPr>
          <w:rFonts w:ascii="Arial" w:hAnsi="Arial" w:cs="Arial" w:hint="default"/>
          <w:color w:val="auto"/>
          <w:sz w:val="22"/>
        </w:rPr>
      </w:lvl>
    </w:lvlOverride>
    <w:lvlOverride w:ilvl="8">
      <w:lvl w:ilvl="8">
        <w:start w:val="1"/>
        <w:numFmt w:val="decimal"/>
        <w:lvlText w:val="%1.%2.%3.%4.%5.%6.%7.%8.%9"/>
        <w:lvlJc w:val="left"/>
        <w:pPr>
          <w:ind w:left="1800" w:hanging="1800"/>
        </w:pPr>
        <w:rPr>
          <w:rFonts w:ascii="Arial" w:hAnsi="Arial" w:cs="Arial" w:hint="default"/>
          <w:color w:val="auto"/>
          <w:sz w:val="22"/>
        </w:rPr>
      </w:lvl>
    </w:lvlOverride>
  </w:num>
  <w:num w:numId="54" w16cid:durableId="1688604934">
    <w:abstractNumId w:val="41"/>
    <w:lvlOverride w:ilvl="0">
      <w:lvl w:ilvl="0">
        <w:start w:val="1"/>
        <w:numFmt w:val="decimal"/>
        <w:lvlText w:val="%1"/>
        <w:lvlJc w:val="left"/>
        <w:pPr>
          <w:ind w:left="660" w:hanging="660"/>
        </w:pPr>
        <w:rPr>
          <w:rFonts w:ascii="Arial" w:hAnsi="Arial" w:cs="Arial" w:hint="default"/>
          <w:color w:val="auto"/>
          <w:sz w:val="22"/>
        </w:rPr>
      </w:lvl>
    </w:lvlOverride>
    <w:lvlOverride w:ilvl="1">
      <w:lvl w:ilvl="1">
        <w:start w:val="1"/>
        <w:numFmt w:val="decimal"/>
        <w:lvlText w:val="%1.%2"/>
        <w:lvlJc w:val="left"/>
        <w:pPr>
          <w:ind w:left="660" w:hanging="660"/>
        </w:pPr>
        <w:rPr>
          <w:rFonts w:ascii="Arial" w:hAnsi="Arial" w:cs="Arial" w:hint="default"/>
          <w:color w:val="auto"/>
          <w:sz w:val="22"/>
        </w:rPr>
      </w:lvl>
    </w:lvlOverride>
    <w:lvlOverride w:ilvl="2">
      <w:lvl w:ilvl="2">
        <w:start w:val="2"/>
        <w:numFmt w:val="decimal"/>
        <w:lvlText w:val="%1.%2.%3"/>
        <w:lvlJc w:val="left"/>
        <w:pPr>
          <w:ind w:left="720" w:hanging="720"/>
        </w:pPr>
        <w:rPr>
          <w:rFonts w:ascii="Arial" w:hAnsi="Arial" w:cs="Arial" w:hint="default"/>
          <w:color w:val="auto"/>
          <w:sz w:val="22"/>
        </w:rPr>
      </w:lvl>
    </w:lvlOverride>
    <w:lvlOverride w:ilvl="3">
      <w:lvl w:ilvl="3">
        <w:start w:val="1"/>
        <w:numFmt w:val="decimal"/>
        <w:lvlText w:val="%1.%2.3.18"/>
        <w:lvlJc w:val="left"/>
        <w:pPr>
          <w:ind w:left="720" w:hanging="720"/>
        </w:pPr>
        <w:rPr>
          <w:rFonts w:ascii="Arial" w:hAnsi="Arial" w:cs="Arial" w:hint="default"/>
          <w:color w:val="auto"/>
          <w:sz w:val="22"/>
        </w:rPr>
      </w:lvl>
    </w:lvlOverride>
    <w:lvlOverride w:ilvl="4">
      <w:lvl w:ilvl="4">
        <w:start w:val="1"/>
        <w:numFmt w:val="decimal"/>
        <w:lvlText w:val="%1.%2.%3.%4.%5"/>
        <w:lvlJc w:val="left"/>
        <w:pPr>
          <w:ind w:left="1080" w:hanging="1080"/>
        </w:pPr>
        <w:rPr>
          <w:rFonts w:ascii="Arial" w:hAnsi="Arial" w:cs="Arial" w:hint="default"/>
          <w:color w:val="auto"/>
          <w:sz w:val="22"/>
        </w:rPr>
      </w:lvl>
    </w:lvlOverride>
    <w:lvlOverride w:ilvl="5">
      <w:lvl w:ilvl="5">
        <w:start w:val="1"/>
        <w:numFmt w:val="decimal"/>
        <w:lvlText w:val="%1.%2.%3.%4.%5.%6"/>
        <w:lvlJc w:val="left"/>
        <w:pPr>
          <w:ind w:left="1440" w:hanging="1440"/>
        </w:pPr>
        <w:rPr>
          <w:rFonts w:ascii="Arial" w:hAnsi="Arial" w:cs="Arial" w:hint="default"/>
          <w:color w:val="auto"/>
          <w:sz w:val="22"/>
        </w:rPr>
      </w:lvl>
    </w:lvlOverride>
    <w:lvlOverride w:ilvl="6">
      <w:lvl w:ilvl="6">
        <w:start w:val="1"/>
        <w:numFmt w:val="decimal"/>
        <w:lvlText w:val="%1.%2.%3.%4.%5.%6.%7"/>
        <w:lvlJc w:val="left"/>
        <w:pPr>
          <w:ind w:left="1440" w:hanging="1440"/>
        </w:pPr>
        <w:rPr>
          <w:rFonts w:ascii="Arial" w:hAnsi="Arial" w:cs="Arial" w:hint="default"/>
          <w:color w:val="auto"/>
          <w:sz w:val="22"/>
        </w:rPr>
      </w:lvl>
    </w:lvlOverride>
    <w:lvlOverride w:ilvl="7">
      <w:lvl w:ilvl="7">
        <w:start w:val="1"/>
        <w:numFmt w:val="decimal"/>
        <w:lvlText w:val="%1.%2.%3.%4.%5.%6.%7.%8"/>
        <w:lvlJc w:val="left"/>
        <w:pPr>
          <w:ind w:left="1800" w:hanging="1800"/>
        </w:pPr>
        <w:rPr>
          <w:rFonts w:ascii="Arial" w:hAnsi="Arial" w:cs="Arial" w:hint="default"/>
          <w:color w:val="auto"/>
          <w:sz w:val="22"/>
        </w:rPr>
      </w:lvl>
    </w:lvlOverride>
    <w:lvlOverride w:ilvl="8">
      <w:lvl w:ilvl="8">
        <w:start w:val="1"/>
        <w:numFmt w:val="decimal"/>
        <w:lvlText w:val="%1.%2.%3.%4.%5.%6.%7.%8.%9"/>
        <w:lvlJc w:val="left"/>
        <w:pPr>
          <w:ind w:left="1800" w:hanging="1800"/>
        </w:pPr>
        <w:rPr>
          <w:rFonts w:ascii="Arial" w:hAnsi="Arial" w:cs="Arial" w:hint="default"/>
          <w:color w:val="auto"/>
          <w:sz w:val="22"/>
        </w:rPr>
      </w:lvl>
    </w:lvlOverride>
  </w:num>
  <w:num w:numId="55" w16cid:durableId="526454686">
    <w:abstractNumId w:val="41"/>
    <w:lvlOverride w:ilvl="0">
      <w:lvl w:ilvl="0">
        <w:start w:val="1"/>
        <w:numFmt w:val="decimal"/>
        <w:lvlText w:val="%1"/>
        <w:lvlJc w:val="left"/>
        <w:pPr>
          <w:ind w:left="660" w:hanging="660"/>
        </w:pPr>
        <w:rPr>
          <w:rFonts w:ascii="Arial" w:hAnsi="Arial" w:cs="Arial" w:hint="default"/>
          <w:color w:val="auto"/>
          <w:sz w:val="22"/>
        </w:rPr>
      </w:lvl>
    </w:lvlOverride>
    <w:lvlOverride w:ilvl="1">
      <w:lvl w:ilvl="1">
        <w:start w:val="1"/>
        <w:numFmt w:val="decimal"/>
        <w:lvlText w:val="%1.%2"/>
        <w:lvlJc w:val="left"/>
        <w:pPr>
          <w:ind w:left="660" w:hanging="660"/>
        </w:pPr>
        <w:rPr>
          <w:rFonts w:ascii="Arial" w:hAnsi="Arial" w:cs="Arial" w:hint="default"/>
          <w:color w:val="auto"/>
          <w:sz w:val="22"/>
        </w:rPr>
      </w:lvl>
    </w:lvlOverride>
    <w:lvlOverride w:ilvl="2">
      <w:lvl w:ilvl="2">
        <w:start w:val="2"/>
        <w:numFmt w:val="decimal"/>
        <w:lvlText w:val="%1.%2.%3"/>
        <w:lvlJc w:val="left"/>
        <w:pPr>
          <w:ind w:left="720" w:hanging="720"/>
        </w:pPr>
        <w:rPr>
          <w:rFonts w:ascii="Arial" w:hAnsi="Arial" w:cs="Arial" w:hint="default"/>
          <w:color w:val="auto"/>
          <w:sz w:val="22"/>
        </w:rPr>
      </w:lvl>
    </w:lvlOverride>
    <w:lvlOverride w:ilvl="3">
      <w:lvl w:ilvl="3">
        <w:start w:val="1"/>
        <w:numFmt w:val="decimal"/>
        <w:lvlText w:val="%1.%2.3.19"/>
        <w:lvlJc w:val="left"/>
        <w:pPr>
          <w:ind w:left="720" w:hanging="720"/>
        </w:pPr>
        <w:rPr>
          <w:rFonts w:ascii="Arial" w:hAnsi="Arial" w:cs="Arial" w:hint="default"/>
          <w:color w:val="auto"/>
          <w:sz w:val="22"/>
        </w:rPr>
      </w:lvl>
    </w:lvlOverride>
    <w:lvlOverride w:ilvl="4">
      <w:lvl w:ilvl="4">
        <w:start w:val="1"/>
        <w:numFmt w:val="decimal"/>
        <w:lvlText w:val="%1.%2.%3.%4.%5"/>
        <w:lvlJc w:val="left"/>
        <w:pPr>
          <w:ind w:left="1080" w:hanging="1080"/>
        </w:pPr>
        <w:rPr>
          <w:rFonts w:ascii="Arial" w:hAnsi="Arial" w:cs="Arial" w:hint="default"/>
          <w:color w:val="auto"/>
          <w:sz w:val="22"/>
        </w:rPr>
      </w:lvl>
    </w:lvlOverride>
    <w:lvlOverride w:ilvl="5">
      <w:lvl w:ilvl="5">
        <w:start w:val="1"/>
        <w:numFmt w:val="decimal"/>
        <w:lvlText w:val="%1.%2.%3.%4.%5.%6"/>
        <w:lvlJc w:val="left"/>
        <w:pPr>
          <w:ind w:left="1440" w:hanging="1440"/>
        </w:pPr>
        <w:rPr>
          <w:rFonts w:ascii="Arial" w:hAnsi="Arial" w:cs="Arial" w:hint="default"/>
          <w:color w:val="auto"/>
          <w:sz w:val="22"/>
        </w:rPr>
      </w:lvl>
    </w:lvlOverride>
    <w:lvlOverride w:ilvl="6">
      <w:lvl w:ilvl="6">
        <w:start w:val="1"/>
        <w:numFmt w:val="decimal"/>
        <w:lvlText w:val="%1.%2.%3.%4.%5.%6.%7"/>
        <w:lvlJc w:val="left"/>
        <w:pPr>
          <w:ind w:left="1440" w:hanging="1440"/>
        </w:pPr>
        <w:rPr>
          <w:rFonts w:ascii="Arial" w:hAnsi="Arial" w:cs="Arial" w:hint="default"/>
          <w:color w:val="auto"/>
          <w:sz w:val="22"/>
        </w:rPr>
      </w:lvl>
    </w:lvlOverride>
    <w:lvlOverride w:ilvl="7">
      <w:lvl w:ilvl="7">
        <w:start w:val="1"/>
        <w:numFmt w:val="decimal"/>
        <w:lvlText w:val="%1.%2.%3.%4.%5.%6.%7.%8"/>
        <w:lvlJc w:val="left"/>
        <w:pPr>
          <w:ind w:left="1800" w:hanging="1800"/>
        </w:pPr>
        <w:rPr>
          <w:rFonts w:ascii="Arial" w:hAnsi="Arial" w:cs="Arial" w:hint="default"/>
          <w:color w:val="auto"/>
          <w:sz w:val="22"/>
        </w:rPr>
      </w:lvl>
    </w:lvlOverride>
    <w:lvlOverride w:ilvl="8">
      <w:lvl w:ilvl="8">
        <w:start w:val="1"/>
        <w:numFmt w:val="decimal"/>
        <w:lvlText w:val="%1.%2.%3.%4.%5.%6.%7.%8.%9"/>
        <w:lvlJc w:val="left"/>
        <w:pPr>
          <w:ind w:left="1800" w:hanging="1800"/>
        </w:pPr>
        <w:rPr>
          <w:rFonts w:ascii="Arial" w:hAnsi="Arial" w:cs="Arial" w:hint="default"/>
          <w:color w:val="auto"/>
          <w:sz w:val="22"/>
        </w:rPr>
      </w:lvl>
    </w:lvlOverride>
  </w:num>
  <w:num w:numId="56" w16cid:durableId="1616205295">
    <w:abstractNumId w:val="41"/>
    <w:lvlOverride w:ilvl="0">
      <w:lvl w:ilvl="0">
        <w:start w:val="1"/>
        <w:numFmt w:val="decimal"/>
        <w:lvlText w:val="%1"/>
        <w:lvlJc w:val="left"/>
        <w:pPr>
          <w:ind w:left="660" w:hanging="660"/>
        </w:pPr>
        <w:rPr>
          <w:rFonts w:ascii="Arial" w:hAnsi="Arial" w:cs="Arial" w:hint="default"/>
          <w:color w:val="auto"/>
          <w:sz w:val="22"/>
        </w:rPr>
      </w:lvl>
    </w:lvlOverride>
    <w:lvlOverride w:ilvl="1">
      <w:lvl w:ilvl="1">
        <w:start w:val="1"/>
        <w:numFmt w:val="decimal"/>
        <w:lvlText w:val="%1.%2"/>
        <w:lvlJc w:val="left"/>
        <w:pPr>
          <w:ind w:left="660" w:hanging="660"/>
        </w:pPr>
        <w:rPr>
          <w:rFonts w:ascii="Arial" w:hAnsi="Arial" w:cs="Arial" w:hint="default"/>
          <w:color w:val="auto"/>
          <w:sz w:val="22"/>
        </w:rPr>
      </w:lvl>
    </w:lvlOverride>
    <w:lvlOverride w:ilvl="2">
      <w:lvl w:ilvl="2">
        <w:start w:val="2"/>
        <w:numFmt w:val="decimal"/>
        <w:lvlText w:val="%1.%2.%3"/>
        <w:lvlJc w:val="left"/>
        <w:pPr>
          <w:ind w:left="720" w:hanging="720"/>
        </w:pPr>
        <w:rPr>
          <w:rFonts w:ascii="Arial" w:hAnsi="Arial" w:cs="Arial" w:hint="default"/>
          <w:color w:val="auto"/>
          <w:sz w:val="22"/>
        </w:rPr>
      </w:lvl>
    </w:lvlOverride>
    <w:lvlOverride w:ilvl="3">
      <w:lvl w:ilvl="3">
        <w:start w:val="1"/>
        <w:numFmt w:val="decimal"/>
        <w:lvlText w:val="%1.%2.3.20"/>
        <w:lvlJc w:val="left"/>
        <w:pPr>
          <w:ind w:left="720" w:hanging="720"/>
        </w:pPr>
        <w:rPr>
          <w:rFonts w:ascii="Arial" w:hAnsi="Arial" w:cs="Arial" w:hint="default"/>
          <w:color w:val="auto"/>
          <w:sz w:val="22"/>
        </w:rPr>
      </w:lvl>
    </w:lvlOverride>
    <w:lvlOverride w:ilvl="4">
      <w:lvl w:ilvl="4">
        <w:start w:val="1"/>
        <w:numFmt w:val="decimal"/>
        <w:lvlText w:val="%1.%2.%3.%4.%5"/>
        <w:lvlJc w:val="left"/>
        <w:pPr>
          <w:ind w:left="1080" w:hanging="1080"/>
        </w:pPr>
        <w:rPr>
          <w:rFonts w:ascii="Arial" w:hAnsi="Arial" w:cs="Arial" w:hint="default"/>
          <w:color w:val="auto"/>
          <w:sz w:val="22"/>
        </w:rPr>
      </w:lvl>
    </w:lvlOverride>
    <w:lvlOverride w:ilvl="5">
      <w:lvl w:ilvl="5">
        <w:start w:val="1"/>
        <w:numFmt w:val="decimal"/>
        <w:lvlText w:val="%1.%2.%3.%4.%5.%6"/>
        <w:lvlJc w:val="left"/>
        <w:pPr>
          <w:ind w:left="1440" w:hanging="1440"/>
        </w:pPr>
        <w:rPr>
          <w:rFonts w:ascii="Arial" w:hAnsi="Arial" w:cs="Arial" w:hint="default"/>
          <w:color w:val="auto"/>
          <w:sz w:val="22"/>
        </w:rPr>
      </w:lvl>
    </w:lvlOverride>
    <w:lvlOverride w:ilvl="6">
      <w:lvl w:ilvl="6">
        <w:start w:val="1"/>
        <w:numFmt w:val="decimal"/>
        <w:lvlText w:val="%1.%2.%3.%4.%5.%6.%7"/>
        <w:lvlJc w:val="left"/>
        <w:pPr>
          <w:ind w:left="1440" w:hanging="1440"/>
        </w:pPr>
        <w:rPr>
          <w:rFonts w:ascii="Arial" w:hAnsi="Arial" w:cs="Arial" w:hint="default"/>
          <w:color w:val="auto"/>
          <w:sz w:val="22"/>
        </w:rPr>
      </w:lvl>
    </w:lvlOverride>
    <w:lvlOverride w:ilvl="7">
      <w:lvl w:ilvl="7">
        <w:start w:val="1"/>
        <w:numFmt w:val="decimal"/>
        <w:lvlText w:val="%1.%2.%3.%4.%5.%6.%7.%8"/>
        <w:lvlJc w:val="left"/>
        <w:pPr>
          <w:ind w:left="1800" w:hanging="1800"/>
        </w:pPr>
        <w:rPr>
          <w:rFonts w:ascii="Arial" w:hAnsi="Arial" w:cs="Arial" w:hint="default"/>
          <w:color w:val="auto"/>
          <w:sz w:val="22"/>
        </w:rPr>
      </w:lvl>
    </w:lvlOverride>
    <w:lvlOverride w:ilvl="8">
      <w:lvl w:ilvl="8">
        <w:start w:val="1"/>
        <w:numFmt w:val="decimal"/>
        <w:lvlText w:val="%1.%2.%3.%4.%5.%6.%7.%8.%9"/>
        <w:lvlJc w:val="left"/>
        <w:pPr>
          <w:ind w:left="1800" w:hanging="1800"/>
        </w:pPr>
        <w:rPr>
          <w:rFonts w:ascii="Arial" w:hAnsi="Arial" w:cs="Arial" w:hint="default"/>
          <w:color w:val="auto"/>
          <w:sz w:val="22"/>
        </w:rPr>
      </w:lvl>
    </w:lvlOverride>
  </w:num>
  <w:num w:numId="57" w16cid:durableId="1755204020">
    <w:abstractNumId w:val="41"/>
    <w:lvlOverride w:ilvl="0">
      <w:lvl w:ilvl="0">
        <w:start w:val="1"/>
        <w:numFmt w:val="decimal"/>
        <w:lvlText w:val="%1"/>
        <w:lvlJc w:val="left"/>
        <w:pPr>
          <w:ind w:left="660" w:hanging="660"/>
        </w:pPr>
        <w:rPr>
          <w:rFonts w:ascii="Arial" w:hAnsi="Arial" w:cs="Arial" w:hint="default"/>
          <w:color w:val="auto"/>
          <w:sz w:val="22"/>
        </w:rPr>
      </w:lvl>
    </w:lvlOverride>
    <w:lvlOverride w:ilvl="1">
      <w:lvl w:ilvl="1">
        <w:start w:val="1"/>
        <w:numFmt w:val="decimal"/>
        <w:lvlText w:val="%1.%2"/>
        <w:lvlJc w:val="left"/>
        <w:pPr>
          <w:ind w:left="660" w:hanging="660"/>
        </w:pPr>
        <w:rPr>
          <w:rFonts w:ascii="Arial" w:hAnsi="Arial" w:cs="Arial" w:hint="default"/>
          <w:color w:val="auto"/>
          <w:sz w:val="22"/>
        </w:rPr>
      </w:lvl>
    </w:lvlOverride>
    <w:lvlOverride w:ilvl="2">
      <w:lvl w:ilvl="2">
        <w:start w:val="2"/>
        <w:numFmt w:val="decimal"/>
        <w:lvlText w:val="%1.%2.%3"/>
        <w:lvlJc w:val="left"/>
        <w:pPr>
          <w:ind w:left="720" w:hanging="720"/>
        </w:pPr>
        <w:rPr>
          <w:rFonts w:ascii="Arial" w:hAnsi="Arial" w:cs="Arial" w:hint="default"/>
          <w:color w:val="auto"/>
          <w:sz w:val="22"/>
        </w:rPr>
      </w:lvl>
    </w:lvlOverride>
    <w:lvlOverride w:ilvl="3">
      <w:lvl w:ilvl="3">
        <w:start w:val="1"/>
        <w:numFmt w:val="decimal"/>
        <w:lvlText w:val="%1.%2.3.21"/>
        <w:lvlJc w:val="left"/>
        <w:pPr>
          <w:ind w:left="720" w:hanging="720"/>
        </w:pPr>
        <w:rPr>
          <w:rFonts w:ascii="Arial" w:hAnsi="Arial" w:cs="Arial" w:hint="default"/>
          <w:color w:val="auto"/>
          <w:sz w:val="22"/>
        </w:rPr>
      </w:lvl>
    </w:lvlOverride>
    <w:lvlOverride w:ilvl="4">
      <w:lvl w:ilvl="4">
        <w:start w:val="1"/>
        <w:numFmt w:val="decimal"/>
        <w:lvlText w:val="%1.%2.%3.%4.%5"/>
        <w:lvlJc w:val="left"/>
        <w:pPr>
          <w:ind w:left="1080" w:hanging="1080"/>
        </w:pPr>
        <w:rPr>
          <w:rFonts w:ascii="Arial" w:hAnsi="Arial" w:cs="Arial" w:hint="default"/>
          <w:color w:val="auto"/>
          <w:sz w:val="22"/>
        </w:rPr>
      </w:lvl>
    </w:lvlOverride>
    <w:lvlOverride w:ilvl="5">
      <w:lvl w:ilvl="5">
        <w:start w:val="1"/>
        <w:numFmt w:val="decimal"/>
        <w:lvlText w:val="%1.%2.%3.%4.%5.%6"/>
        <w:lvlJc w:val="left"/>
        <w:pPr>
          <w:ind w:left="1440" w:hanging="1440"/>
        </w:pPr>
        <w:rPr>
          <w:rFonts w:ascii="Arial" w:hAnsi="Arial" w:cs="Arial" w:hint="default"/>
          <w:color w:val="auto"/>
          <w:sz w:val="22"/>
        </w:rPr>
      </w:lvl>
    </w:lvlOverride>
    <w:lvlOverride w:ilvl="6">
      <w:lvl w:ilvl="6">
        <w:start w:val="1"/>
        <w:numFmt w:val="decimal"/>
        <w:lvlText w:val="%1.%2.%3.%4.%5.%6.%7"/>
        <w:lvlJc w:val="left"/>
        <w:pPr>
          <w:ind w:left="1440" w:hanging="1440"/>
        </w:pPr>
        <w:rPr>
          <w:rFonts w:ascii="Arial" w:hAnsi="Arial" w:cs="Arial" w:hint="default"/>
          <w:color w:val="auto"/>
          <w:sz w:val="22"/>
        </w:rPr>
      </w:lvl>
    </w:lvlOverride>
    <w:lvlOverride w:ilvl="7">
      <w:lvl w:ilvl="7">
        <w:start w:val="1"/>
        <w:numFmt w:val="decimal"/>
        <w:lvlText w:val="%1.%2.%3.%4.%5.%6.%7.%8"/>
        <w:lvlJc w:val="left"/>
        <w:pPr>
          <w:ind w:left="1800" w:hanging="1800"/>
        </w:pPr>
        <w:rPr>
          <w:rFonts w:ascii="Arial" w:hAnsi="Arial" w:cs="Arial" w:hint="default"/>
          <w:color w:val="auto"/>
          <w:sz w:val="22"/>
        </w:rPr>
      </w:lvl>
    </w:lvlOverride>
    <w:lvlOverride w:ilvl="8">
      <w:lvl w:ilvl="8">
        <w:start w:val="1"/>
        <w:numFmt w:val="decimal"/>
        <w:lvlText w:val="%1.%2.%3.%4.%5.%6.%7.%8.%9"/>
        <w:lvlJc w:val="left"/>
        <w:pPr>
          <w:ind w:left="1800" w:hanging="1800"/>
        </w:pPr>
        <w:rPr>
          <w:rFonts w:ascii="Arial" w:hAnsi="Arial" w:cs="Arial" w:hint="default"/>
          <w:color w:val="auto"/>
          <w:sz w:val="22"/>
        </w:rPr>
      </w:lvl>
    </w:lvlOverride>
  </w:num>
  <w:num w:numId="58" w16cid:durableId="740323880">
    <w:abstractNumId w:val="41"/>
    <w:lvlOverride w:ilvl="0">
      <w:lvl w:ilvl="0">
        <w:start w:val="1"/>
        <w:numFmt w:val="decimal"/>
        <w:lvlText w:val="%1"/>
        <w:lvlJc w:val="left"/>
        <w:pPr>
          <w:ind w:left="660" w:hanging="660"/>
        </w:pPr>
        <w:rPr>
          <w:rFonts w:ascii="Arial" w:hAnsi="Arial" w:cs="Arial" w:hint="default"/>
          <w:color w:val="auto"/>
          <w:sz w:val="22"/>
        </w:rPr>
      </w:lvl>
    </w:lvlOverride>
    <w:lvlOverride w:ilvl="1">
      <w:lvl w:ilvl="1">
        <w:start w:val="1"/>
        <w:numFmt w:val="decimal"/>
        <w:lvlText w:val="%1.%2"/>
        <w:lvlJc w:val="left"/>
        <w:pPr>
          <w:ind w:left="660" w:hanging="660"/>
        </w:pPr>
        <w:rPr>
          <w:rFonts w:ascii="Arial" w:hAnsi="Arial" w:cs="Arial" w:hint="default"/>
          <w:color w:val="auto"/>
          <w:sz w:val="22"/>
        </w:rPr>
      </w:lvl>
    </w:lvlOverride>
    <w:lvlOverride w:ilvl="2">
      <w:lvl w:ilvl="2">
        <w:start w:val="2"/>
        <w:numFmt w:val="decimal"/>
        <w:lvlText w:val="%1.%2.%3"/>
        <w:lvlJc w:val="left"/>
        <w:pPr>
          <w:ind w:left="720" w:hanging="720"/>
        </w:pPr>
        <w:rPr>
          <w:rFonts w:ascii="Arial" w:hAnsi="Arial" w:cs="Arial" w:hint="default"/>
          <w:color w:val="auto"/>
          <w:sz w:val="22"/>
        </w:rPr>
      </w:lvl>
    </w:lvlOverride>
    <w:lvlOverride w:ilvl="3">
      <w:lvl w:ilvl="3">
        <w:start w:val="1"/>
        <w:numFmt w:val="decimal"/>
        <w:lvlText w:val="%1.%2.3.22"/>
        <w:lvlJc w:val="left"/>
        <w:pPr>
          <w:ind w:left="720" w:hanging="720"/>
        </w:pPr>
        <w:rPr>
          <w:rFonts w:ascii="Arial" w:hAnsi="Arial" w:cs="Arial" w:hint="default"/>
          <w:color w:val="auto"/>
          <w:sz w:val="22"/>
        </w:rPr>
      </w:lvl>
    </w:lvlOverride>
    <w:lvlOverride w:ilvl="4">
      <w:lvl w:ilvl="4">
        <w:start w:val="1"/>
        <w:numFmt w:val="decimal"/>
        <w:lvlText w:val="%1.%2.%3.%4.%5"/>
        <w:lvlJc w:val="left"/>
        <w:pPr>
          <w:ind w:left="1080" w:hanging="1080"/>
        </w:pPr>
        <w:rPr>
          <w:rFonts w:ascii="Arial" w:hAnsi="Arial" w:cs="Arial" w:hint="default"/>
          <w:color w:val="auto"/>
          <w:sz w:val="22"/>
        </w:rPr>
      </w:lvl>
    </w:lvlOverride>
    <w:lvlOverride w:ilvl="5">
      <w:lvl w:ilvl="5">
        <w:start w:val="1"/>
        <w:numFmt w:val="decimal"/>
        <w:lvlText w:val="%1.%2.%3.%4.%5.%6"/>
        <w:lvlJc w:val="left"/>
        <w:pPr>
          <w:ind w:left="1440" w:hanging="1440"/>
        </w:pPr>
        <w:rPr>
          <w:rFonts w:ascii="Arial" w:hAnsi="Arial" w:cs="Arial" w:hint="default"/>
          <w:color w:val="auto"/>
          <w:sz w:val="22"/>
        </w:rPr>
      </w:lvl>
    </w:lvlOverride>
    <w:lvlOverride w:ilvl="6">
      <w:lvl w:ilvl="6">
        <w:start w:val="1"/>
        <w:numFmt w:val="decimal"/>
        <w:lvlText w:val="%1.%2.%3.%4.%5.%6.%7"/>
        <w:lvlJc w:val="left"/>
        <w:pPr>
          <w:ind w:left="1440" w:hanging="1440"/>
        </w:pPr>
        <w:rPr>
          <w:rFonts w:ascii="Arial" w:hAnsi="Arial" w:cs="Arial" w:hint="default"/>
          <w:color w:val="auto"/>
          <w:sz w:val="22"/>
        </w:rPr>
      </w:lvl>
    </w:lvlOverride>
    <w:lvlOverride w:ilvl="7">
      <w:lvl w:ilvl="7">
        <w:start w:val="1"/>
        <w:numFmt w:val="decimal"/>
        <w:lvlText w:val="%1.%2.%3.%4.%5.%6.%7.%8"/>
        <w:lvlJc w:val="left"/>
        <w:pPr>
          <w:ind w:left="1800" w:hanging="1800"/>
        </w:pPr>
        <w:rPr>
          <w:rFonts w:ascii="Arial" w:hAnsi="Arial" w:cs="Arial" w:hint="default"/>
          <w:color w:val="auto"/>
          <w:sz w:val="22"/>
        </w:rPr>
      </w:lvl>
    </w:lvlOverride>
    <w:lvlOverride w:ilvl="8">
      <w:lvl w:ilvl="8">
        <w:start w:val="1"/>
        <w:numFmt w:val="decimal"/>
        <w:lvlText w:val="%1.%2.%3.%4.%5.%6.%7.%8.%9"/>
        <w:lvlJc w:val="left"/>
        <w:pPr>
          <w:ind w:left="1800" w:hanging="1800"/>
        </w:pPr>
        <w:rPr>
          <w:rFonts w:ascii="Arial" w:hAnsi="Arial" w:cs="Arial" w:hint="default"/>
          <w:color w:val="auto"/>
          <w:sz w:val="22"/>
        </w:rPr>
      </w:lvl>
    </w:lvlOverride>
  </w:num>
  <w:num w:numId="59" w16cid:durableId="1253856448">
    <w:abstractNumId w:val="17"/>
  </w:num>
  <w:num w:numId="60" w16cid:durableId="1412235455">
    <w:abstractNumId w:val="17"/>
    <w:lvlOverride w:ilvl="0">
      <w:lvl w:ilvl="0" w:tplc="6E3A3340">
        <w:start w:val="1"/>
        <w:numFmt w:val="none"/>
        <w:lvlText w:val="1.2.3"/>
        <w:lvlJc w:val="left"/>
        <w:pPr>
          <w:ind w:left="720" w:hanging="360"/>
        </w:pPr>
        <w:rPr>
          <w:rFonts w:hint="default"/>
        </w:rPr>
      </w:lvl>
    </w:lvlOverride>
    <w:lvlOverride w:ilvl="1">
      <w:lvl w:ilvl="1" w:tplc="08090019">
        <w:start w:val="1"/>
        <w:numFmt w:val="lowerLetter"/>
        <w:lvlText w:val="%2."/>
        <w:lvlJc w:val="left"/>
        <w:pPr>
          <w:ind w:left="1440" w:hanging="360"/>
        </w:pPr>
        <w:rPr>
          <w:rFonts w:hint="default"/>
        </w:rPr>
      </w:lvl>
    </w:lvlOverride>
    <w:lvlOverride w:ilvl="2">
      <w:lvl w:ilvl="2" w:tplc="0809001B">
        <w:start w:val="1"/>
        <w:numFmt w:val="lowerRoman"/>
        <w:lvlText w:val="%3."/>
        <w:lvlJc w:val="right"/>
        <w:pPr>
          <w:ind w:left="2160" w:hanging="180"/>
        </w:pPr>
        <w:rPr>
          <w:rFonts w:hint="default"/>
        </w:rPr>
      </w:lvl>
    </w:lvlOverride>
    <w:lvlOverride w:ilvl="3">
      <w:lvl w:ilvl="3" w:tplc="0809000F">
        <w:start w:val="1"/>
        <w:numFmt w:val="decimal"/>
        <w:lvlText w:val="%4."/>
        <w:lvlJc w:val="left"/>
        <w:pPr>
          <w:ind w:left="2880" w:hanging="360"/>
        </w:pPr>
        <w:rPr>
          <w:rFonts w:hint="default"/>
        </w:rPr>
      </w:lvl>
    </w:lvlOverride>
    <w:lvlOverride w:ilvl="4">
      <w:lvl w:ilvl="4" w:tplc="08090019">
        <w:start w:val="1"/>
        <w:numFmt w:val="lowerLetter"/>
        <w:lvlText w:val="%5."/>
        <w:lvlJc w:val="left"/>
        <w:pPr>
          <w:ind w:left="3600" w:hanging="360"/>
        </w:pPr>
        <w:rPr>
          <w:rFonts w:hint="default"/>
        </w:rPr>
      </w:lvl>
    </w:lvlOverride>
    <w:lvlOverride w:ilvl="5">
      <w:lvl w:ilvl="5" w:tplc="0809001B">
        <w:start w:val="1"/>
        <w:numFmt w:val="lowerRoman"/>
        <w:lvlText w:val="%6."/>
        <w:lvlJc w:val="right"/>
        <w:pPr>
          <w:ind w:left="4320" w:hanging="180"/>
        </w:pPr>
        <w:rPr>
          <w:rFonts w:hint="default"/>
        </w:rPr>
      </w:lvl>
    </w:lvlOverride>
    <w:lvlOverride w:ilvl="6">
      <w:lvl w:ilvl="6" w:tplc="0809000F">
        <w:start w:val="1"/>
        <w:numFmt w:val="decimal"/>
        <w:lvlText w:val="%7."/>
        <w:lvlJc w:val="left"/>
        <w:pPr>
          <w:ind w:left="5040" w:hanging="360"/>
        </w:pPr>
        <w:rPr>
          <w:rFonts w:hint="default"/>
        </w:rPr>
      </w:lvl>
    </w:lvlOverride>
    <w:lvlOverride w:ilvl="7">
      <w:lvl w:ilvl="7" w:tplc="08090019">
        <w:start w:val="1"/>
        <w:numFmt w:val="lowerLetter"/>
        <w:lvlText w:val="%8."/>
        <w:lvlJc w:val="left"/>
        <w:pPr>
          <w:ind w:left="5760" w:hanging="360"/>
        </w:pPr>
        <w:rPr>
          <w:rFonts w:hint="default"/>
        </w:rPr>
      </w:lvl>
    </w:lvlOverride>
    <w:lvlOverride w:ilvl="8">
      <w:lvl w:ilvl="8" w:tplc="0809001B">
        <w:start w:val="1"/>
        <w:numFmt w:val="lowerRoman"/>
        <w:lvlText w:val="%9."/>
        <w:lvlJc w:val="right"/>
        <w:pPr>
          <w:ind w:left="6480" w:hanging="180"/>
        </w:pPr>
        <w:rPr>
          <w:rFonts w:hint="default"/>
        </w:rPr>
      </w:lvl>
    </w:lvlOverride>
  </w:num>
  <w:num w:numId="61" w16cid:durableId="333067083">
    <w:abstractNumId w:val="17"/>
    <w:lvlOverride w:ilvl="0">
      <w:lvl w:ilvl="0" w:tplc="6E3A3340">
        <w:start w:val="1"/>
        <w:numFmt w:val="none"/>
        <w:lvlText w:val="1.2.4"/>
        <w:lvlJc w:val="left"/>
        <w:pPr>
          <w:ind w:left="720" w:hanging="360"/>
        </w:pPr>
        <w:rPr>
          <w:rFonts w:hint="default"/>
        </w:rPr>
      </w:lvl>
    </w:lvlOverride>
    <w:lvlOverride w:ilvl="1">
      <w:lvl w:ilvl="1" w:tplc="08090019">
        <w:start w:val="1"/>
        <w:numFmt w:val="lowerLetter"/>
        <w:lvlText w:val="%2."/>
        <w:lvlJc w:val="left"/>
        <w:pPr>
          <w:ind w:left="1440" w:hanging="360"/>
        </w:pPr>
        <w:rPr>
          <w:rFonts w:hint="default"/>
        </w:rPr>
      </w:lvl>
    </w:lvlOverride>
    <w:lvlOverride w:ilvl="2">
      <w:lvl w:ilvl="2" w:tplc="0809001B">
        <w:start w:val="1"/>
        <w:numFmt w:val="lowerRoman"/>
        <w:lvlText w:val="%3."/>
        <w:lvlJc w:val="right"/>
        <w:pPr>
          <w:ind w:left="2160" w:hanging="180"/>
        </w:pPr>
        <w:rPr>
          <w:rFonts w:hint="default"/>
        </w:rPr>
      </w:lvl>
    </w:lvlOverride>
    <w:lvlOverride w:ilvl="3">
      <w:lvl w:ilvl="3" w:tplc="0809000F">
        <w:start w:val="1"/>
        <w:numFmt w:val="decimal"/>
        <w:lvlText w:val="%4."/>
        <w:lvlJc w:val="left"/>
        <w:pPr>
          <w:ind w:left="2880" w:hanging="360"/>
        </w:pPr>
        <w:rPr>
          <w:rFonts w:hint="default"/>
        </w:rPr>
      </w:lvl>
    </w:lvlOverride>
    <w:lvlOverride w:ilvl="4">
      <w:lvl w:ilvl="4" w:tplc="08090019">
        <w:start w:val="1"/>
        <w:numFmt w:val="lowerLetter"/>
        <w:lvlText w:val="%5."/>
        <w:lvlJc w:val="left"/>
        <w:pPr>
          <w:ind w:left="3600" w:hanging="360"/>
        </w:pPr>
        <w:rPr>
          <w:rFonts w:hint="default"/>
        </w:rPr>
      </w:lvl>
    </w:lvlOverride>
    <w:lvlOverride w:ilvl="5">
      <w:lvl w:ilvl="5" w:tplc="0809001B">
        <w:start w:val="1"/>
        <w:numFmt w:val="lowerRoman"/>
        <w:lvlText w:val="%6."/>
        <w:lvlJc w:val="right"/>
        <w:pPr>
          <w:ind w:left="4320" w:hanging="180"/>
        </w:pPr>
        <w:rPr>
          <w:rFonts w:hint="default"/>
        </w:rPr>
      </w:lvl>
    </w:lvlOverride>
    <w:lvlOverride w:ilvl="6">
      <w:lvl w:ilvl="6" w:tplc="0809000F">
        <w:start w:val="1"/>
        <w:numFmt w:val="decimal"/>
        <w:lvlText w:val="%7."/>
        <w:lvlJc w:val="left"/>
        <w:pPr>
          <w:ind w:left="5040" w:hanging="360"/>
        </w:pPr>
        <w:rPr>
          <w:rFonts w:hint="default"/>
        </w:rPr>
      </w:lvl>
    </w:lvlOverride>
    <w:lvlOverride w:ilvl="7">
      <w:lvl w:ilvl="7" w:tplc="08090019">
        <w:start w:val="1"/>
        <w:numFmt w:val="lowerLetter"/>
        <w:lvlText w:val="%8."/>
        <w:lvlJc w:val="left"/>
        <w:pPr>
          <w:ind w:left="5760" w:hanging="360"/>
        </w:pPr>
        <w:rPr>
          <w:rFonts w:hint="default"/>
        </w:rPr>
      </w:lvl>
    </w:lvlOverride>
    <w:lvlOverride w:ilvl="8">
      <w:lvl w:ilvl="8" w:tplc="0809001B">
        <w:start w:val="1"/>
        <w:numFmt w:val="lowerRoman"/>
        <w:lvlText w:val="%9."/>
        <w:lvlJc w:val="right"/>
        <w:pPr>
          <w:ind w:left="6480" w:hanging="180"/>
        </w:pPr>
        <w:rPr>
          <w:rFonts w:hint="default"/>
        </w:rPr>
      </w:lvl>
    </w:lvlOverride>
  </w:num>
  <w:num w:numId="62" w16cid:durableId="1278565200">
    <w:abstractNumId w:val="17"/>
    <w:lvlOverride w:ilvl="0">
      <w:lvl w:ilvl="0" w:tplc="6E3A3340">
        <w:start w:val="1"/>
        <w:numFmt w:val="none"/>
        <w:lvlText w:val="1.1.2"/>
        <w:lvlJc w:val="left"/>
        <w:pPr>
          <w:ind w:left="720" w:hanging="360"/>
        </w:pPr>
        <w:rPr>
          <w:rFonts w:hint="default"/>
        </w:rPr>
      </w:lvl>
    </w:lvlOverride>
    <w:lvlOverride w:ilvl="1">
      <w:lvl w:ilvl="1" w:tplc="08090019">
        <w:start w:val="1"/>
        <w:numFmt w:val="lowerLetter"/>
        <w:lvlText w:val="%2."/>
        <w:lvlJc w:val="left"/>
        <w:pPr>
          <w:ind w:left="1440" w:hanging="360"/>
        </w:pPr>
        <w:rPr>
          <w:rFonts w:hint="default"/>
        </w:rPr>
      </w:lvl>
    </w:lvlOverride>
    <w:lvlOverride w:ilvl="2">
      <w:lvl w:ilvl="2" w:tplc="0809001B">
        <w:start w:val="1"/>
        <w:numFmt w:val="lowerRoman"/>
        <w:lvlText w:val="%3."/>
        <w:lvlJc w:val="right"/>
        <w:pPr>
          <w:ind w:left="2160" w:hanging="180"/>
        </w:pPr>
        <w:rPr>
          <w:rFonts w:hint="default"/>
        </w:rPr>
      </w:lvl>
    </w:lvlOverride>
    <w:lvlOverride w:ilvl="3">
      <w:lvl w:ilvl="3" w:tplc="0809000F">
        <w:start w:val="1"/>
        <w:numFmt w:val="decimal"/>
        <w:lvlText w:val="%4."/>
        <w:lvlJc w:val="left"/>
        <w:pPr>
          <w:ind w:left="2880" w:hanging="360"/>
        </w:pPr>
        <w:rPr>
          <w:rFonts w:hint="default"/>
        </w:rPr>
      </w:lvl>
    </w:lvlOverride>
    <w:lvlOverride w:ilvl="4">
      <w:lvl w:ilvl="4" w:tplc="08090019">
        <w:start w:val="1"/>
        <w:numFmt w:val="lowerLetter"/>
        <w:lvlText w:val="%5."/>
        <w:lvlJc w:val="left"/>
        <w:pPr>
          <w:ind w:left="3600" w:hanging="360"/>
        </w:pPr>
        <w:rPr>
          <w:rFonts w:hint="default"/>
        </w:rPr>
      </w:lvl>
    </w:lvlOverride>
    <w:lvlOverride w:ilvl="5">
      <w:lvl w:ilvl="5" w:tplc="0809001B">
        <w:start w:val="1"/>
        <w:numFmt w:val="lowerRoman"/>
        <w:lvlText w:val="%6."/>
        <w:lvlJc w:val="right"/>
        <w:pPr>
          <w:ind w:left="4320" w:hanging="180"/>
        </w:pPr>
        <w:rPr>
          <w:rFonts w:hint="default"/>
        </w:rPr>
      </w:lvl>
    </w:lvlOverride>
    <w:lvlOverride w:ilvl="6">
      <w:lvl w:ilvl="6" w:tplc="0809000F">
        <w:start w:val="1"/>
        <w:numFmt w:val="decimal"/>
        <w:lvlText w:val="%7."/>
        <w:lvlJc w:val="left"/>
        <w:pPr>
          <w:ind w:left="5040" w:hanging="360"/>
        </w:pPr>
        <w:rPr>
          <w:rFonts w:hint="default"/>
        </w:rPr>
      </w:lvl>
    </w:lvlOverride>
    <w:lvlOverride w:ilvl="7">
      <w:lvl w:ilvl="7" w:tplc="08090019">
        <w:start w:val="1"/>
        <w:numFmt w:val="lowerLetter"/>
        <w:lvlText w:val="%8."/>
        <w:lvlJc w:val="left"/>
        <w:pPr>
          <w:ind w:left="5760" w:hanging="360"/>
        </w:pPr>
        <w:rPr>
          <w:rFonts w:hint="default"/>
        </w:rPr>
      </w:lvl>
    </w:lvlOverride>
    <w:lvlOverride w:ilvl="8">
      <w:lvl w:ilvl="8" w:tplc="0809001B">
        <w:start w:val="1"/>
        <w:numFmt w:val="lowerRoman"/>
        <w:lvlText w:val="%9."/>
        <w:lvlJc w:val="right"/>
        <w:pPr>
          <w:ind w:left="6480" w:hanging="180"/>
        </w:pPr>
        <w:rPr>
          <w:rFonts w:hint="default"/>
        </w:rPr>
      </w:lvl>
    </w:lvlOverride>
  </w:num>
  <w:num w:numId="63" w16cid:durableId="430857408">
    <w:abstractNumId w:val="17"/>
    <w:lvlOverride w:ilvl="0">
      <w:lvl w:ilvl="0" w:tplc="6E3A3340">
        <w:start w:val="1"/>
        <w:numFmt w:val="none"/>
        <w:lvlText w:val="1.2.5"/>
        <w:lvlJc w:val="left"/>
        <w:pPr>
          <w:ind w:left="720" w:hanging="360"/>
        </w:pPr>
        <w:rPr>
          <w:rFonts w:hint="default"/>
        </w:rPr>
      </w:lvl>
    </w:lvlOverride>
    <w:lvlOverride w:ilvl="1">
      <w:lvl w:ilvl="1" w:tplc="08090019">
        <w:start w:val="1"/>
        <w:numFmt w:val="lowerLetter"/>
        <w:lvlText w:val="%2."/>
        <w:lvlJc w:val="left"/>
        <w:pPr>
          <w:ind w:left="1440" w:hanging="360"/>
        </w:pPr>
        <w:rPr>
          <w:rFonts w:hint="default"/>
        </w:rPr>
      </w:lvl>
    </w:lvlOverride>
    <w:lvlOverride w:ilvl="2">
      <w:lvl w:ilvl="2" w:tplc="0809001B">
        <w:start w:val="1"/>
        <w:numFmt w:val="lowerRoman"/>
        <w:lvlText w:val="%3."/>
        <w:lvlJc w:val="right"/>
        <w:pPr>
          <w:ind w:left="2160" w:hanging="180"/>
        </w:pPr>
        <w:rPr>
          <w:rFonts w:hint="default"/>
        </w:rPr>
      </w:lvl>
    </w:lvlOverride>
    <w:lvlOverride w:ilvl="3">
      <w:lvl w:ilvl="3" w:tplc="0809000F">
        <w:start w:val="1"/>
        <w:numFmt w:val="decimal"/>
        <w:lvlText w:val="%4."/>
        <w:lvlJc w:val="left"/>
        <w:pPr>
          <w:ind w:left="2880" w:hanging="360"/>
        </w:pPr>
        <w:rPr>
          <w:rFonts w:hint="default"/>
        </w:rPr>
      </w:lvl>
    </w:lvlOverride>
    <w:lvlOverride w:ilvl="4">
      <w:lvl w:ilvl="4" w:tplc="08090019">
        <w:start w:val="1"/>
        <w:numFmt w:val="lowerLetter"/>
        <w:lvlText w:val="%5."/>
        <w:lvlJc w:val="left"/>
        <w:pPr>
          <w:ind w:left="3600" w:hanging="360"/>
        </w:pPr>
        <w:rPr>
          <w:rFonts w:hint="default"/>
        </w:rPr>
      </w:lvl>
    </w:lvlOverride>
    <w:lvlOverride w:ilvl="5">
      <w:lvl w:ilvl="5" w:tplc="0809001B">
        <w:start w:val="1"/>
        <w:numFmt w:val="lowerRoman"/>
        <w:lvlText w:val="%6."/>
        <w:lvlJc w:val="right"/>
        <w:pPr>
          <w:ind w:left="4320" w:hanging="180"/>
        </w:pPr>
        <w:rPr>
          <w:rFonts w:hint="default"/>
        </w:rPr>
      </w:lvl>
    </w:lvlOverride>
    <w:lvlOverride w:ilvl="6">
      <w:lvl w:ilvl="6" w:tplc="0809000F">
        <w:start w:val="1"/>
        <w:numFmt w:val="decimal"/>
        <w:lvlText w:val="%7."/>
        <w:lvlJc w:val="left"/>
        <w:pPr>
          <w:ind w:left="5040" w:hanging="360"/>
        </w:pPr>
        <w:rPr>
          <w:rFonts w:hint="default"/>
        </w:rPr>
      </w:lvl>
    </w:lvlOverride>
    <w:lvlOverride w:ilvl="7">
      <w:lvl w:ilvl="7" w:tplc="08090019">
        <w:start w:val="1"/>
        <w:numFmt w:val="lowerLetter"/>
        <w:lvlText w:val="%8."/>
        <w:lvlJc w:val="left"/>
        <w:pPr>
          <w:ind w:left="5760" w:hanging="360"/>
        </w:pPr>
        <w:rPr>
          <w:rFonts w:hint="default"/>
        </w:rPr>
      </w:lvl>
    </w:lvlOverride>
    <w:lvlOverride w:ilvl="8">
      <w:lvl w:ilvl="8" w:tplc="0809001B">
        <w:start w:val="1"/>
        <w:numFmt w:val="lowerRoman"/>
        <w:lvlText w:val="%9."/>
        <w:lvlJc w:val="right"/>
        <w:pPr>
          <w:ind w:left="6480" w:hanging="180"/>
        </w:pPr>
        <w:rPr>
          <w:rFonts w:hint="default"/>
        </w:rPr>
      </w:lvl>
    </w:lvlOverride>
  </w:num>
  <w:num w:numId="64" w16cid:durableId="2135755723">
    <w:abstractNumId w:val="17"/>
    <w:lvlOverride w:ilvl="0">
      <w:lvl w:ilvl="0" w:tplc="6E3A3340">
        <w:start w:val="1"/>
        <w:numFmt w:val="none"/>
        <w:lvlText w:val="1.2.6"/>
        <w:lvlJc w:val="left"/>
        <w:pPr>
          <w:ind w:left="720" w:hanging="360"/>
        </w:pPr>
        <w:rPr>
          <w:rFonts w:hint="default"/>
        </w:rPr>
      </w:lvl>
    </w:lvlOverride>
    <w:lvlOverride w:ilvl="1">
      <w:lvl w:ilvl="1" w:tplc="08090019">
        <w:start w:val="1"/>
        <w:numFmt w:val="lowerLetter"/>
        <w:lvlText w:val="%2."/>
        <w:lvlJc w:val="left"/>
        <w:pPr>
          <w:ind w:left="1440" w:hanging="360"/>
        </w:pPr>
        <w:rPr>
          <w:rFonts w:hint="default"/>
        </w:rPr>
      </w:lvl>
    </w:lvlOverride>
    <w:lvlOverride w:ilvl="2">
      <w:lvl w:ilvl="2" w:tplc="0809001B">
        <w:start w:val="1"/>
        <w:numFmt w:val="lowerRoman"/>
        <w:lvlText w:val="%3."/>
        <w:lvlJc w:val="right"/>
        <w:pPr>
          <w:ind w:left="2160" w:hanging="180"/>
        </w:pPr>
        <w:rPr>
          <w:rFonts w:hint="default"/>
        </w:rPr>
      </w:lvl>
    </w:lvlOverride>
    <w:lvlOverride w:ilvl="3">
      <w:lvl w:ilvl="3" w:tplc="0809000F">
        <w:start w:val="1"/>
        <w:numFmt w:val="decimal"/>
        <w:lvlText w:val="%4."/>
        <w:lvlJc w:val="left"/>
        <w:pPr>
          <w:ind w:left="2880" w:hanging="360"/>
        </w:pPr>
        <w:rPr>
          <w:rFonts w:hint="default"/>
        </w:rPr>
      </w:lvl>
    </w:lvlOverride>
    <w:lvlOverride w:ilvl="4">
      <w:lvl w:ilvl="4" w:tplc="08090019">
        <w:start w:val="1"/>
        <w:numFmt w:val="lowerLetter"/>
        <w:lvlText w:val="%5."/>
        <w:lvlJc w:val="left"/>
        <w:pPr>
          <w:ind w:left="3600" w:hanging="360"/>
        </w:pPr>
        <w:rPr>
          <w:rFonts w:hint="default"/>
        </w:rPr>
      </w:lvl>
    </w:lvlOverride>
    <w:lvlOverride w:ilvl="5">
      <w:lvl w:ilvl="5" w:tplc="0809001B">
        <w:start w:val="1"/>
        <w:numFmt w:val="lowerRoman"/>
        <w:lvlText w:val="%6."/>
        <w:lvlJc w:val="right"/>
        <w:pPr>
          <w:ind w:left="4320" w:hanging="180"/>
        </w:pPr>
        <w:rPr>
          <w:rFonts w:hint="default"/>
        </w:rPr>
      </w:lvl>
    </w:lvlOverride>
    <w:lvlOverride w:ilvl="6">
      <w:lvl w:ilvl="6" w:tplc="0809000F">
        <w:start w:val="1"/>
        <w:numFmt w:val="decimal"/>
        <w:lvlText w:val="%7."/>
        <w:lvlJc w:val="left"/>
        <w:pPr>
          <w:ind w:left="5040" w:hanging="360"/>
        </w:pPr>
        <w:rPr>
          <w:rFonts w:hint="default"/>
        </w:rPr>
      </w:lvl>
    </w:lvlOverride>
    <w:lvlOverride w:ilvl="7">
      <w:lvl w:ilvl="7" w:tplc="08090019">
        <w:start w:val="1"/>
        <w:numFmt w:val="lowerLetter"/>
        <w:lvlText w:val="%8."/>
        <w:lvlJc w:val="left"/>
        <w:pPr>
          <w:ind w:left="5760" w:hanging="360"/>
        </w:pPr>
        <w:rPr>
          <w:rFonts w:hint="default"/>
        </w:rPr>
      </w:lvl>
    </w:lvlOverride>
    <w:lvlOverride w:ilvl="8">
      <w:lvl w:ilvl="8" w:tplc="0809001B">
        <w:start w:val="1"/>
        <w:numFmt w:val="lowerRoman"/>
        <w:lvlText w:val="%9."/>
        <w:lvlJc w:val="right"/>
        <w:pPr>
          <w:ind w:left="6480" w:hanging="180"/>
        </w:pPr>
        <w:rPr>
          <w:rFonts w:hint="default"/>
        </w:rPr>
      </w:lvl>
    </w:lvlOverride>
  </w:num>
  <w:num w:numId="65" w16cid:durableId="1801996306">
    <w:abstractNumId w:val="17"/>
    <w:lvlOverride w:ilvl="0">
      <w:lvl w:ilvl="0" w:tplc="6E3A3340">
        <w:start w:val="1"/>
        <w:numFmt w:val="none"/>
        <w:lvlText w:val="1.2.7"/>
        <w:lvlJc w:val="left"/>
        <w:pPr>
          <w:ind w:left="720" w:hanging="360"/>
        </w:pPr>
        <w:rPr>
          <w:rFonts w:hint="default"/>
        </w:rPr>
      </w:lvl>
    </w:lvlOverride>
    <w:lvlOverride w:ilvl="1">
      <w:lvl w:ilvl="1" w:tplc="08090019">
        <w:start w:val="1"/>
        <w:numFmt w:val="lowerLetter"/>
        <w:lvlText w:val="%2."/>
        <w:lvlJc w:val="left"/>
        <w:pPr>
          <w:ind w:left="1440" w:hanging="360"/>
        </w:pPr>
        <w:rPr>
          <w:rFonts w:hint="default"/>
        </w:rPr>
      </w:lvl>
    </w:lvlOverride>
    <w:lvlOverride w:ilvl="2">
      <w:lvl w:ilvl="2" w:tplc="0809001B">
        <w:start w:val="1"/>
        <w:numFmt w:val="lowerRoman"/>
        <w:lvlText w:val="%3."/>
        <w:lvlJc w:val="right"/>
        <w:pPr>
          <w:ind w:left="2160" w:hanging="180"/>
        </w:pPr>
        <w:rPr>
          <w:rFonts w:hint="default"/>
        </w:rPr>
      </w:lvl>
    </w:lvlOverride>
    <w:lvlOverride w:ilvl="3">
      <w:lvl w:ilvl="3" w:tplc="0809000F">
        <w:start w:val="1"/>
        <w:numFmt w:val="decimal"/>
        <w:lvlText w:val="%4."/>
        <w:lvlJc w:val="left"/>
        <w:pPr>
          <w:ind w:left="2880" w:hanging="360"/>
        </w:pPr>
        <w:rPr>
          <w:rFonts w:hint="default"/>
        </w:rPr>
      </w:lvl>
    </w:lvlOverride>
    <w:lvlOverride w:ilvl="4">
      <w:lvl w:ilvl="4" w:tplc="08090019">
        <w:start w:val="1"/>
        <w:numFmt w:val="lowerLetter"/>
        <w:lvlText w:val="%5."/>
        <w:lvlJc w:val="left"/>
        <w:pPr>
          <w:ind w:left="3600" w:hanging="360"/>
        </w:pPr>
        <w:rPr>
          <w:rFonts w:hint="default"/>
        </w:rPr>
      </w:lvl>
    </w:lvlOverride>
    <w:lvlOverride w:ilvl="5">
      <w:lvl w:ilvl="5" w:tplc="0809001B">
        <w:start w:val="1"/>
        <w:numFmt w:val="lowerRoman"/>
        <w:lvlText w:val="%6."/>
        <w:lvlJc w:val="right"/>
        <w:pPr>
          <w:ind w:left="4320" w:hanging="180"/>
        </w:pPr>
        <w:rPr>
          <w:rFonts w:hint="default"/>
        </w:rPr>
      </w:lvl>
    </w:lvlOverride>
    <w:lvlOverride w:ilvl="6">
      <w:lvl w:ilvl="6" w:tplc="0809000F">
        <w:start w:val="1"/>
        <w:numFmt w:val="decimal"/>
        <w:lvlText w:val="%7."/>
        <w:lvlJc w:val="left"/>
        <w:pPr>
          <w:ind w:left="5040" w:hanging="360"/>
        </w:pPr>
        <w:rPr>
          <w:rFonts w:hint="default"/>
        </w:rPr>
      </w:lvl>
    </w:lvlOverride>
    <w:lvlOverride w:ilvl="7">
      <w:lvl w:ilvl="7" w:tplc="08090019">
        <w:start w:val="1"/>
        <w:numFmt w:val="lowerLetter"/>
        <w:lvlText w:val="%8."/>
        <w:lvlJc w:val="left"/>
        <w:pPr>
          <w:ind w:left="5760" w:hanging="360"/>
        </w:pPr>
        <w:rPr>
          <w:rFonts w:hint="default"/>
        </w:rPr>
      </w:lvl>
    </w:lvlOverride>
    <w:lvlOverride w:ilvl="8">
      <w:lvl w:ilvl="8" w:tplc="0809001B">
        <w:start w:val="1"/>
        <w:numFmt w:val="lowerRoman"/>
        <w:lvlText w:val="%9."/>
        <w:lvlJc w:val="right"/>
        <w:pPr>
          <w:ind w:left="6480" w:hanging="180"/>
        </w:pPr>
        <w:rPr>
          <w:rFonts w:hint="default"/>
        </w:rPr>
      </w:lvl>
    </w:lvlOverride>
  </w:num>
  <w:num w:numId="66" w16cid:durableId="1028482835">
    <w:abstractNumId w:val="17"/>
    <w:lvlOverride w:ilvl="0">
      <w:lvl w:ilvl="0" w:tplc="6E3A3340">
        <w:start w:val="1"/>
        <w:numFmt w:val="none"/>
        <w:lvlText w:val="1.2.8"/>
        <w:lvlJc w:val="left"/>
        <w:pPr>
          <w:ind w:left="720" w:hanging="360"/>
        </w:pPr>
        <w:rPr>
          <w:rFonts w:hint="default"/>
        </w:rPr>
      </w:lvl>
    </w:lvlOverride>
    <w:lvlOverride w:ilvl="1">
      <w:lvl w:ilvl="1" w:tplc="08090019">
        <w:start w:val="1"/>
        <w:numFmt w:val="lowerLetter"/>
        <w:lvlText w:val="%2."/>
        <w:lvlJc w:val="left"/>
        <w:pPr>
          <w:ind w:left="1440" w:hanging="360"/>
        </w:pPr>
        <w:rPr>
          <w:rFonts w:hint="default"/>
        </w:rPr>
      </w:lvl>
    </w:lvlOverride>
    <w:lvlOverride w:ilvl="2">
      <w:lvl w:ilvl="2" w:tplc="0809001B">
        <w:start w:val="1"/>
        <w:numFmt w:val="lowerRoman"/>
        <w:lvlText w:val="%3."/>
        <w:lvlJc w:val="right"/>
        <w:pPr>
          <w:ind w:left="2160" w:hanging="180"/>
        </w:pPr>
        <w:rPr>
          <w:rFonts w:hint="default"/>
        </w:rPr>
      </w:lvl>
    </w:lvlOverride>
    <w:lvlOverride w:ilvl="3">
      <w:lvl w:ilvl="3" w:tplc="0809000F">
        <w:start w:val="1"/>
        <w:numFmt w:val="decimal"/>
        <w:lvlText w:val="%4."/>
        <w:lvlJc w:val="left"/>
        <w:pPr>
          <w:ind w:left="2880" w:hanging="360"/>
        </w:pPr>
        <w:rPr>
          <w:rFonts w:hint="default"/>
        </w:rPr>
      </w:lvl>
    </w:lvlOverride>
    <w:lvlOverride w:ilvl="4">
      <w:lvl w:ilvl="4" w:tplc="08090019">
        <w:start w:val="1"/>
        <w:numFmt w:val="lowerLetter"/>
        <w:lvlText w:val="%5."/>
        <w:lvlJc w:val="left"/>
        <w:pPr>
          <w:ind w:left="3600" w:hanging="360"/>
        </w:pPr>
        <w:rPr>
          <w:rFonts w:hint="default"/>
        </w:rPr>
      </w:lvl>
    </w:lvlOverride>
    <w:lvlOverride w:ilvl="5">
      <w:lvl w:ilvl="5" w:tplc="0809001B">
        <w:start w:val="1"/>
        <w:numFmt w:val="lowerRoman"/>
        <w:lvlText w:val="%6."/>
        <w:lvlJc w:val="right"/>
        <w:pPr>
          <w:ind w:left="4320" w:hanging="180"/>
        </w:pPr>
        <w:rPr>
          <w:rFonts w:hint="default"/>
        </w:rPr>
      </w:lvl>
    </w:lvlOverride>
    <w:lvlOverride w:ilvl="6">
      <w:lvl w:ilvl="6" w:tplc="0809000F">
        <w:start w:val="1"/>
        <w:numFmt w:val="decimal"/>
        <w:lvlText w:val="%7."/>
        <w:lvlJc w:val="left"/>
        <w:pPr>
          <w:ind w:left="5040" w:hanging="360"/>
        </w:pPr>
        <w:rPr>
          <w:rFonts w:hint="default"/>
        </w:rPr>
      </w:lvl>
    </w:lvlOverride>
    <w:lvlOverride w:ilvl="7">
      <w:lvl w:ilvl="7" w:tplc="08090019">
        <w:start w:val="1"/>
        <w:numFmt w:val="lowerLetter"/>
        <w:lvlText w:val="%8."/>
        <w:lvlJc w:val="left"/>
        <w:pPr>
          <w:ind w:left="5760" w:hanging="360"/>
        </w:pPr>
        <w:rPr>
          <w:rFonts w:hint="default"/>
        </w:rPr>
      </w:lvl>
    </w:lvlOverride>
    <w:lvlOverride w:ilvl="8">
      <w:lvl w:ilvl="8" w:tplc="0809001B">
        <w:start w:val="1"/>
        <w:numFmt w:val="lowerRoman"/>
        <w:lvlText w:val="%9."/>
        <w:lvlJc w:val="right"/>
        <w:pPr>
          <w:ind w:left="6480" w:hanging="180"/>
        </w:pPr>
        <w:rPr>
          <w:rFonts w:hint="default"/>
        </w:rPr>
      </w:lvl>
    </w:lvlOverride>
  </w:num>
  <w:num w:numId="67" w16cid:durableId="90471172">
    <w:abstractNumId w:val="17"/>
    <w:lvlOverride w:ilvl="0">
      <w:lvl w:ilvl="0" w:tplc="6E3A3340">
        <w:start w:val="1"/>
        <w:numFmt w:val="none"/>
        <w:lvlText w:val="1.2.9"/>
        <w:lvlJc w:val="left"/>
        <w:pPr>
          <w:ind w:left="720" w:hanging="360"/>
        </w:pPr>
        <w:rPr>
          <w:rFonts w:hint="default"/>
        </w:rPr>
      </w:lvl>
    </w:lvlOverride>
    <w:lvlOverride w:ilvl="1">
      <w:lvl w:ilvl="1" w:tplc="08090019">
        <w:start w:val="1"/>
        <w:numFmt w:val="lowerLetter"/>
        <w:lvlText w:val="%2."/>
        <w:lvlJc w:val="left"/>
        <w:pPr>
          <w:ind w:left="1440" w:hanging="360"/>
        </w:pPr>
        <w:rPr>
          <w:rFonts w:hint="default"/>
        </w:rPr>
      </w:lvl>
    </w:lvlOverride>
    <w:lvlOverride w:ilvl="2">
      <w:lvl w:ilvl="2" w:tplc="0809001B">
        <w:start w:val="1"/>
        <w:numFmt w:val="lowerRoman"/>
        <w:lvlText w:val="%3."/>
        <w:lvlJc w:val="right"/>
        <w:pPr>
          <w:ind w:left="2160" w:hanging="180"/>
        </w:pPr>
        <w:rPr>
          <w:rFonts w:hint="default"/>
        </w:rPr>
      </w:lvl>
    </w:lvlOverride>
    <w:lvlOverride w:ilvl="3">
      <w:lvl w:ilvl="3" w:tplc="0809000F">
        <w:start w:val="1"/>
        <w:numFmt w:val="decimal"/>
        <w:lvlText w:val="%4."/>
        <w:lvlJc w:val="left"/>
        <w:pPr>
          <w:ind w:left="2880" w:hanging="360"/>
        </w:pPr>
        <w:rPr>
          <w:rFonts w:hint="default"/>
        </w:rPr>
      </w:lvl>
    </w:lvlOverride>
    <w:lvlOverride w:ilvl="4">
      <w:lvl w:ilvl="4" w:tplc="08090019">
        <w:start w:val="1"/>
        <w:numFmt w:val="lowerLetter"/>
        <w:lvlText w:val="%5."/>
        <w:lvlJc w:val="left"/>
        <w:pPr>
          <w:ind w:left="3600" w:hanging="360"/>
        </w:pPr>
        <w:rPr>
          <w:rFonts w:hint="default"/>
        </w:rPr>
      </w:lvl>
    </w:lvlOverride>
    <w:lvlOverride w:ilvl="5">
      <w:lvl w:ilvl="5" w:tplc="0809001B">
        <w:start w:val="1"/>
        <w:numFmt w:val="lowerRoman"/>
        <w:lvlText w:val="%6."/>
        <w:lvlJc w:val="right"/>
        <w:pPr>
          <w:ind w:left="4320" w:hanging="180"/>
        </w:pPr>
        <w:rPr>
          <w:rFonts w:hint="default"/>
        </w:rPr>
      </w:lvl>
    </w:lvlOverride>
    <w:lvlOverride w:ilvl="6">
      <w:lvl w:ilvl="6" w:tplc="0809000F">
        <w:start w:val="1"/>
        <w:numFmt w:val="decimal"/>
        <w:lvlText w:val="%7."/>
        <w:lvlJc w:val="left"/>
        <w:pPr>
          <w:ind w:left="5040" w:hanging="360"/>
        </w:pPr>
        <w:rPr>
          <w:rFonts w:hint="default"/>
        </w:rPr>
      </w:lvl>
    </w:lvlOverride>
    <w:lvlOverride w:ilvl="7">
      <w:lvl w:ilvl="7" w:tplc="08090019">
        <w:start w:val="1"/>
        <w:numFmt w:val="lowerLetter"/>
        <w:lvlText w:val="%8."/>
        <w:lvlJc w:val="left"/>
        <w:pPr>
          <w:ind w:left="5760" w:hanging="360"/>
        </w:pPr>
        <w:rPr>
          <w:rFonts w:hint="default"/>
        </w:rPr>
      </w:lvl>
    </w:lvlOverride>
    <w:lvlOverride w:ilvl="8">
      <w:lvl w:ilvl="8" w:tplc="0809001B">
        <w:start w:val="1"/>
        <w:numFmt w:val="lowerRoman"/>
        <w:lvlText w:val="%9."/>
        <w:lvlJc w:val="right"/>
        <w:pPr>
          <w:ind w:left="6480" w:hanging="180"/>
        </w:pPr>
        <w:rPr>
          <w:rFonts w:hint="default"/>
        </w:rPr>
      </w:lvl>
    </w:lvlOverride>
  </w:num>
  <w:num w:numId="68" w16cid:durableId="258754730">
    <w:abstractNumId w:val="17"/>
    <w:lvlOverride w:ilvl="0">
      <w:lvl w:ilvl="0" w:tplc="6E3A3340">
        <w:start w:val="1"/>
        <w:numFmt w:val="none"/>
        <w:lvlText w:val="1.2.10"/>
        <w:lvlJc w:val="left"/>
        <w:pPr>
          <w:ind w:left="720" w:hanging="360"/>
        </w:pPr>
        <w:rPr>
          <w:rFonts w:hint="default"/>
        </w:rPr>
      </w:lvl>
    </w:lvlOverride>
    <w:lvlOverride w:ilvl="1">
      <w:lvl w:ilvl="1" w:tplc="08090019">
        <w:start w:val="1"/>
        <w:numFmt w:val="lowerLetter"/>
        <w:lvlText w:val="%2."/>
        <w:lvlJc w:val="left"/>
        <w:pPr>
          <w:ind w:left="1440" w:hanging="360"/>
        </w:pPr>
        <w:rPr>
          <w:rFonts w:hint="default"/>
        </w:rPr>
      </w:lvl>
    </w:lvlOverride>
    <w:lvlOverride w:ilvl="2">
      <w:lvl w:ilvl="2" w:tplc="0809001B">
        <w:start w:val="1"/>
        <w:numFmt w:val="lowerRoman"/>
        <w:lvlText w:val="%3."/>
        <w:lvlJc w:val="right"/>
        <w:pPr>
          <w:ind w:left="2160" w:hanging="180"/>
        </w:pPr>
        <w:rPr>
          <w:rFonts w:hint="default"/>
        </w:rPr>
      </w:lvl>
    </w:lvlOverride>
    <w:lvlOverride w:ilvl="3">
      <w:lvl w:ilvl="3" w:tplc="0809000F">
        <w:start w:val="1"/>
        <w:numFmt w:val="decimal"/>
        <w:lvlText w:val="%4."/>
        <w:lvlJc w:val="left"/>
        <w:pPr>
          <w:ind w:left="2880" w:hanging="360"/>
        </w:pPr>
        <w:rPr>
          <w:rFonts w:hint="default"/>
        </w:rPr>
      </w:lvl>
    </w:lvlOverride>
    <w:lvlOverride w:ilvl="4">
      <w:lvl w:ilvl="4" w:tplc="08090019">
        <w:start w:val="1"/>
        <w:numFmt w:val="lowerLetter"/>
        <w:lvlText w:val="%5."/>
        <w:lvlJc w:val="left"/>
        <w:pPr>
          <w:ind w:left="3600" w:hanging="360"/>
        </w:pPr>
        <w:rPr>
          <w:rFonts w:hint="default"/>
        </w:rPr>
      </w:lvl>
    </w:lvlOverride>
    <w:lvlOverride w:ilvl="5">
      <w:lvl w:ilvl="5" w:tplc="0809001B">
        <w:start w:val="1"/>
        <w:numFmt w:val="lowerRoman"/>
        <w:lvlText w:val="%6."/>
        <w:lvlJc w:val="right"/>
        <w:pPr>
          <w:ind w:left="4320" w:hanging="180"/>
        </w:pPr>
        <w:rPr>
          <w:rFonts w:hint="default"/>
        </w:rPr>
      </w:lvl>
    </w:lvlOverride>
    <w:lvlOverride w:ilvl="6">
      <w:lvl w:ilvl="6" w:tplc="0809000F">
        <w:start w:val="1"/>
        <w:numFmt w:val="decimal"/>
        <w:lvlText w:val="%7."/>
        <w:lvlJc w:val="left"/>
        <w:pPr>
          <w:ind w:left="5040" w:hanging="360"/>
        </w:pPr>
        <w:rPr>
          <w:rFonts w:hint="default"/>
        </w:rPr>
      </w:lvl>
    </w:lvlOverride>
    <w:lvlOverride w:ilvl="7">
      <w:lvl w:ilvl="7" w:tplc="08090019">
        <w:start w:val="1"/>
        <w:numFmt w:val="lowerLetter"/>
        <w:lvlText w:val="%8."/>
        <w:lvlJc w:val="left"/>
        <w:pPr>
          <w:ind w:left="5760" w:hanging="360"/>
        </w:pPr>
        <w:rPr>
          <w:rFonts w:hint="default"/>
        </w:rPr>
      </w:lvl>
    </w:lvlOverride>
    <w:lvlOverride w:ilvl="8">
      <w:lvl w:ilvl="8" w:tplc="0809001B">
        <w:start w:val="1"/>
        <w:numFmt w:val="lowerRoman"/>
        <w:lvlText w:val="%9."/>
        <w:lvlJc w:val="right"/>
        <w:pPr>
          <w:ind w:left="6480" w:hanging="180"/>
        </w:pPr>
        <w:rPr>
          <w:rFonts w:hint="default"/>
        </w:rPr>
      </w:lvl>
    </w:lvlOverride>
  </w:num>
  <w:num w:numId="69" w16cid:durableId="1920554671">
    <w:abstractNumId w:val="59"/>
  </w:num>
  <w:num w:numId="70" w16cid:durableId="1549490888">
    <w:abstractNumId w:val="71"/>
  </w:num>
  <w:num w:numId="71" w16cid:durableId="1645549063">
    <w:abstractNumId w:val="40"/>
  </w:num>
  <w:num w:numId="72" w16cid:durableId="521212773">
    <w:abstractNumId w:val="46"/>
  </w:num>
  <w:num w:numId="73" w16cid:durableId="749691878">
    <w:abstractNumId w:val="34"/>
  </w:num>
  <w:num w:numId="74" w16cid:durableId="2082214112">
    <w:abstractNumId w:val="22"/>
  </w:num>
  <w:num w:numId="75" w16cid:durableId="1407991101">
    <w:abstractNumId w:val="83"/>
  </w:num>
  <w:num w:numId="76" w16cid:durableId="1533613231">
    <w:abstractNumId w:val="36"/>
  </w:num>
  <w:num w:numId="77" w16cid:durableId="439489441">
    <w:abstractNumId w:val="36"/>
    <w:lvlOverride w:ilvl="0">
      <w:lvl w:ilvl="0">
        <w:start w:val="1"/>
        <w:numFmt w:val="none"/>
        <w:lvlText w:val="1.3.4"/>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78" w16cid:durableId="520555043">
    <w:abstractNumId w:val="36"/>
    <w:lvlOverride w:ilvl="0">
      <w:lvl w:ilvl="0">
        <w:start w:val="1"/>
        <w:numFmt w:val="none"/>
        <w:lvlText w:val="1.3.5"/>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79" w16cid:durableId="1025987266">
    <w:abstractNumId w:val="36"/>
    <w:lvlOverride w:ilvl="0">
      <w:lvl w:ilvl="0">
        <w:start w:val="1"/>
        <w:numFmt w:val="none"/>
        <w:lvlText w:val="1.3.6"/>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80" w16cid:durableId="1150705720">
    <w:abstractNumId w:val="36"/>
    <w:lvlOverride w:ilvl="0">
      <w:lvl w:ilvl="0">
        <w:start w:val="1"/>
        <w:numFmt w:val="none"/>
        <w:lvlText w:val="1.3.7"/>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81" w16cid:durableId="1552110917">
    <w:abstractNumId w:val="81"/>
  </w:num>
  <w:num w:numId="82" w16cid:durableId="2001544541">
    <w:abstractNumId w:val="14"/>
  </w:num>
  <w:num w:numId="83" w16cid:durableId="142162223">
    <w:abstractNumId w:val="78"/>
  </w:num>
  <w:num w:numId="84" w16cid:durableId="1130630726">
    <w:abstractNumId w:val="49"/>
  </w:num>
  <w:num w:numId="85" w16cid:durableId="628047232">
    <w:abstractNumId w:val="49"/>
    <w:lvlOverride w:ilvl="0">
      <w:lvl w:ilvl="0">
        <w:start w:val="1"/>
        <w:numFmt w:val="none"/>
        <w:lvlText w:val="3.1.2"/>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86" w16cid:durableId="1965311036">
    <w:abstractNumId w:val="49"/>
    <w:lvlOverride w:ilvl="0">
      <w:lvl w:ilvl="0">
        <w:start w:val="1"/>
        <w:numFmt w:val="none"/>
        <w:lvlText w:val="3.1.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87" w16cid:durableId="38163437">
    <w:abstractNumId w:val="49"/>
    <w:lvlOverride w:ilvl="0">
      <w:lvl w:ilvl="0">
        <w:start w:val="1"/>
        <w:numFmt w:val="none"/>
        <w:lvlText w:val="3.1.4"/>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88" w16cid:durableId="2100828308">
    <w:abstractNumId w:val="49"/>
    <w:lvlOverride w:ilvl="0">
      <w:lvl w:ilvl="0">
        <w:start w:val="1"/>
        <w:numFmt w:val="none"/>
        <w:lvlText w:val="3.1.5"/>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89" w16cid:durableId="116803134">
    <w:abstractNumId w:val="49"/>
    <w:lvlOverride w:ilvl="0">
      <w:lvl w:ilvl="0">
        <w:start w:val="1"/>
        <w:numFmt w:val="none"/>
        <w:lvlText w:val="3.1.6"/>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90" w16cid:durableId="1944610164">
    <w:abstractNumId w:val="63"/>
  </w:num>
  <w:num w:numId="91" w16cid:durableId="937641100">
    <w:abstractNumId w:val="2"/>
  </w:num>
  <w:num w:numId="92" w16cid:durableId="1881090511">
    <w:abstractNumId w:val="23"/>
  </w:num>
  <w:num w:numId="93" w16cid:durableId="247231706">
    <w:abstractNumId w:val="25"/>
  </w:num>
  <w:num w:numId="94" w16cid:durableId="2119522590">
    <w:abstractNumId w:val="27"/>
  </w:num>
  <w:num w:numId="95" w16cid:durableId="1655721246">
    <w:abstractNumId w:val="48"/>
  </w:num>
  <w:num w:numId="96" w16cid:durableId="1494025658">
    <w:abstractNumId w:val="73"/>
  </w:num>
  <w:num w:numId="97" w16cid:durableId="1234196852">
    <w:abstractNumId w:val="3"/>
  </w:num>
  <w:num w:numId="98" w16cid:durableId="390271029">
    <w:abstractNumId w:val="70"/>
  </w:num>
  <w:num w:numId="99" w16cid:durableId="1815415391">
    <w:abstractNumId w:val="9"/>
  </w:num>
  <w:num w:numId="100" w16cid:durableId="1325739407">
    <w:abstractNumId w:val="16"/>
  </w:num>
  <w:num w:numId="101" w16cid:durableId="1184587154">
    <w:abstractNumId w:val="80"/>
  </w:num>
  <w:num w:numId="102" w16cid:durableId="952786609">
    <w:abstractNumId w:val="5"/>
  </w:num>
  <w:num w:numId="103" w16cid:durableId="1054236914">
    <w:abstractNumId w:val="5"/>
    <w:lvlOverride w:ilvl="0">
      <w:lvl w:ilvl="0">
        <w:start w:val="1"/>
        <w:numFmt w:val="none"/>
        <w:lvlText w:val="4.1.2"/>
        <w:lvlJc w:val="left"/>
        <w:pPr>
          <w:ind w:left="720" w:hanging="360"/>
        </w:pPr>
        <w:rPr>
          <w:rFonts w:hint="default"/>
        </w:rPr>
      </w:lvl>
    </w:lvlOverride>
    <w:lvlOverride w:ilvl="1">
      <w:lvl w:ilvl="1">
        <w:start w:val="1"/>
        <w:numFmt w:val="none"/>
        <w:lvlText w:val="3.5"/>
        <w:lvlJc w:val="left"/>
        <w:pPr>
          <w:ind w:left="1440" w:hanging="360"/>
        </w:pPr>
        <w:rPr>
          <w:rFonts w:hint="default"/>
        </w:rPr>
      </w:lvl>
    </w:lvlOverride>
    <w:lvlOverride w:ilvl="2">
      <w:lvl w:ilvl="2">
        <w:start w:val="1"/>
        <w:numFmt w:val="none"/>
        <w:lvlText w:val="3.1.10"/>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04" w16cid:durableId="1948346587">
    <w:abstractNumId w:val="64"/>
  </w:num>
  <w:num w:numId="105" w16cid:durableId="1047026382">
    <w:abstractNumId w:val="69"/>
  </w:num>
  <w:num w:numId="106" w16cid:durableId="1513370593">
    <w:abstractNumId w:val="13"/>
  </w:num>
  <w:num w:numId="107" w16cid:durableId="1004552111">
    <w:abstractNumId w:val="72"/>
  </w:num>
  <w:num w:numId="108" w16cid:durableId="626353707">
    <w:abstractNumId w:val="55"/>
  </w:num>
  <w:num w:numId="109" w16cid:durableId="187110152">
    <w:abstractNumId w:val="61"/>
  </w:num>
  <w:num w:numId="110" w16cid:durableId="1619485826">
    <w:abstractNumId w:val="18"/>
  </w:num>
  <w:num w:numId="111" w16cid:durableId="720403011">
    <w:abstractNumId w:val="24"/>
  </w:num>
  <w:num w:numId="112" w16cid:durableId="1691952651">
    <w:abstractNumId w:val="82"/>
  </w:num>
  <w:num w:numId="113" w16cid:durableId="1934244746">
    <w:abstractNumId w:val="74"/>
  </w:num>
  <w:num w:numId="114" w16cid:durableId="106120428">
    <w:abstractNumId w:val="57"/>
  </w:num>
  <w:num w:numId="115" w16cid:durableId="1433166083">
    <w:abstractNumId w:val="57"/>
    <w:lvlOverride w:ilvl="0">
      <w:lvl w:ilvl="0">
        <w:start w:val="1"/>
        <w:numFmt w:val="none"/>
        <w:lvlText w:val="5.5.1"/>
        <w:lvlJc w:val="left"/>
        <w:pPr>
          <w:ind w:left="720" w:hanging="360"/>
        </w:pPr>
        <w:rPr>
          <w:rFonts w:hint="default"/>
        </w:rPr>
      </w:lvl>
    </w:lvlOverride>
    <w:lvlOverride w:ilvl="1">
      <w:lvl w:ilvl="1">
        <w:start w:val="1"/>
        <w:numFmt w:val="none"/>
        <w:lvlText w:val="3.5"/>
        <w:lvlJc w:val="left"/>
        <w:pPr>
          <w:ind w:left="1440" w:hanging="360"/>
        </w:pPr>
        <w:rPr>
          <w:rFonts w:hint="default"/>
        </w:rPr>
      </w:lvl>
    </w:lvlOverride>
    <w:lvlOverride w:ilvl="2">
      <w:lvl w:ilvl="2">
        <w:start w:val="1"/>
        <w:numFmt w:val="none"/>
        <w:lvlText w:val="5.5.2"/>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16" w16cid:durableId="1646667969">
    <w:abstractNumId w:val="57"/>
    <w:lvlOverride w:ilvl="0">
      <w:lvl w:ilvl="0">
        <w:start w:val="1"/>
        <w:numFmt w:val="none"/>
        <w:lvlText w:val="5.5.1"/>
        <w:lvlJc w:val="left"/>
        <w:pPr>
          <w:ind w:left="720" w:hanging="360"/>
        </w:pPr>
        <w:rPr>
          <w:rFonts w:hint="default"/>
        </w:rPr>
      </w:lvl>
    </w:lvlOverride>
    <w:lvlOverride w:ilvl="1">
      <w:lvl w:ilvl="1">
        <w:start w:val="1"/>
        <w:numFmt w:val="none"/>
        <w:lvlText w:val="3.5"/>
        <w:lvlJc w:val="left"/>
        <w:pPr>
          <w:ind w:left="1440" w:hanging="360"/>
        </w:pPr>
        <w:rPr>
          <w:rFonts w:hint="default"/>
        </w:rPr>
      </w:lvl>
    </w:lvlOverride>
    <w:lvlOverride w:ilvl="2">
      <w:lvl w:ilvl="2">
        <w:start w:val="1"/>
        <w:numFmt w:val="none"/>
        <w:lvlText w:val="5.5.2"/>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17" w16cid:durableId="542718137">
    <w:abstractNumId w:val="57"/>
    <w:lvlOverride w:ilvl="0">
      <w:lvl w:ilvl="0">
        <w:start w:val="1"/>
        <w:numFmt w:val="none"/>
        <w:lvlText w:val="5.5.1"/>
        <w:lvlJc w:val="left"/>
        <w:pPr>
          <w:ind w:left="720" w:hanging="360"/>
        </w:pPr>
        <w:rPr>
          <w:rFonts w:hint="default"/>
        </w:rPr>
      </w:lvl>
    </w:lvlOverride>
    <w:lvlOverride w:ilvl="1">
      <w:lvl w:ilvl="1">
        <w:start w:val="1"/>
        <w:numFmt w:val="none"/>
        <w:lvlText w:val="3.5"/>
        <w:lvlJc w:val="left"/>
        <w:pPr>
          <w:ind w:left="1440" w:hanging="360"/>
        </w:pPr>
        <w:rPr>
          <w:rFonts w:hint="default"/>
        </w:rPr>
      </w:lvl>
    </w:lvlOverride>
    <w:lvlOverride w:ilvl="2">
      <w:lvl w:ilvl="2">
        <w:start w:val="1"/>
        <w:numFmt w:val="none"/>
        <w:lvlText w:val="5.5.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18" w16cid:durableId="755974677">
    <w:abstractNumId w:val="79"/>
  </w:num>
  <w:num w:numId="119" w16cid:durableId="1639803890">
    <w:abstractNumId w:val="77"/>
  </w:num>
  <w:num w:numId="120" w16cid:durableId="1752391990">
    <w:abstractNumId w:val="26"/>
  </w:num>
  <w:num w:numId="121" w16cid:durableId="606424233">
    <w:abstractNumId w:val="35"/>
  </w:num>
  <w:num w:numId="122" w16cid:durableId="806438332">
    <w:abstractNumId w:val="1"/>
  </w:num>
  <w:num w:numId="123" w16cid:durableId="915240536">
    <w:abstractNumId w:val="52"/>
  </w:num>
  <w:num w:numId="124" w16cid:durableId="102964389">
    <w:abstractNumId w:val="28"/>
  </w:num>
  <w:num w:numId="125" w16cid:durableId="1477799185">
    <w:abstractNumId w:val="67"/>
  </w:num>
  <w:num w:numId="126" w16cid:durableId="1250499537">
    <w:abstractNumId w:val="67"/>
    <w:lvlOverride w:ilvl="0">
      <w:lvl w:ilvl="0">
        <w:start w:val="1"/>
        <w:numFmt w:val="none"/>
        <w:lvlText w:val="5.5.12"/>
        <w:lvlJc w:val="left"/>
        <w:pPr>
          <w:ind w:left="720" w:hanging="360"/>
        </w:pPr>
        <w:rPr>
          <w:rFonts w:hint="default"/>
        </w:rPr>
      </w:lvl>
    </w:lvlOverride>
    <w:lvlOverride w:ilvl="1">
      <w:lvl w:ilvl="1">
        <w:start w:val="1"/>
        <w:numFmt w:val="none"/>
        <w:lvlText w:val="3.5"/>
        <w:lvlJc w:val="left"/>
        <w:pPr>
          <w:ind w:left="1440" w:hanging="360"/>
        </w:pPr>
        <w:rPr>
          <w:rFonts w:hint="default"/>
        </w:rPr>
      </w:lvl>
    </w:lvlOverride>
    <w:lvlOverride w:ilvl="2">
      <w:lvl w:ilvl="2">
        <w:start w:val="1"/>
        <w:numFmt w:val="none"/>
        <w:lvlText w:val="5.5.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27" w16cid:durableId="406848545">
    <w:abstractNumId w:val="67"/>
    <w:lvlOverride w:ilvl="0">
      <w:lvl w:ilvl="0">
        <w:start w:val="1"/>
        <w:numFmt w:val="none"/>
        <w:lvlText w:val="5.5.13"/>
        <w:lvlJc w:val="left"/>
        <w:pPr>
          <w:ind w:left="720" w:hanging="360"/>
        </w:pPr>
        <w:rPr>
          <w:rFonts w:hint="default"/>
        </w:rPr>
      </w:lvl>
    </w:lvlOverride>
    <w:lvlOverride w:ilvl="1">
      <w:lvl w:ilvl="1">
        <w:start w:val="1"/>
        <w:numFmt w:val="none"/>
        <w:lvlText w:val="3.5"/>
        <w:lvlJc w:val="left"/>
        <w:pPr>
          <w:ind w:left="1440" w:hanging="360"/>
        </w:pPr>
        <w:rPr>
          <w:rFonts w:hint="default"/>
        </w:rPr>
      </w:lvl>
    </w:lvlOverride>
    <w:lvlOverride w:ilvl="2">
      <w:lvl w:ilvl="2">
        <w:start w:val="1"/>
        <w:numFmt w:val="none"/>
        <w:lvlText w:val="5.5.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28" w16cid:durableId="2139057682">
    <w:abstractNumId w:val="12"/>
  </w:num>
  <w:num w:numId="129" w16cid:durableId="1031220943">
    <w:abstractNumId w:val="66"/>
  </w:num>
  <w:num w:numId="130" w16cid:durableId="2144349001">
    <w:abstractNumId w:val="66"/>
    <w:lvlOverride w:ilvl="0">
      <w:lvl w:ilvl="0">
        <w:start w:val="1"/>
        <w:numFmt w:val="none"/>
        <w:lvlText w:val="5.7.1"/>
        <w:lvlJc w:val="left"/>
        <w:pPr>
          <w:ind w:left="720" w:hanging="360"/>
        </w:pPr>
        <w:rPr>
          <w:rFonts w:hint="default"/>
        </w:rPr>
      </w:lvl>
    </w:lvlOverride>
    <w:lvlOverride w:ilvl="1">
      <w:lvl w:ilvl="1">
        <w:start w:val="1"/>
        <w:numFmt w:val="none"/>
        <w:lvlText w:val="3.5"/>
        <w:lvlJc w:val="left"/>
        <w:pPr>
          <w:ind w:left="1440" w:hanging="360"/>
        </w:pPr>
        <w:rPr>
          <w:rFonts w:hint="default"/>
        </w:rPr>
      </w:lvl>
    </w:lvlOverride>
    <w:lvlOverride w:ilvl="2">
      <w:lvl w:ilvl="2">
        <w:start w:val="1"/>
        <w:numFmt w:val="none"/>
        <w:lvlText w:val="5.7.2"/>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31" w16cid:durableId="1715037163">
    <w:abstractNumId w:val="66"/>
    <w:lvlOverride w:ilvl="0">
      <w:lvl w:ilvl="0">
        <w:start w:val="1"/>
        <w:numFmt w:val="none"/>
        <w:lvlText w:val="5.7.1"/>
        <w:lvlJc w:val="left"/>
        <w:pPr>
          <w:ind w:left="720" w:hanging="360"/>
        </w:pPr>
        <w:rPr>
          <w:rFonts w:hint="default"/>
        </w:rPr>
      </w:lvl>
    </w:lvlOverride>
    <w:lvlOverride w:ilvl="1">
      <w:lvl w:ilvl="1">
        <w:start w:val="1"/>
        <w:numFmt w:val="none"/>
        <w:lvlText w:val="3.5"/>
        <w:lvlJc w:val="left"/>
        <w:pPr>
          <w:ind w:left="1440" w:hanging="360"/>
        </w:pPr>
        <w:rPr>
          <w:rFonts w:hint="default"/>
        </w:rPr>
      </w:lvl>
    </w:lvlOverride>
    <w:lvlOverride w:ilvl="2">
      <w:lvl w:ilvl="2">
        <w:start w:val="1"/>
        <w:numFmt w:val="none"/>
        <w:lvlText w:val="5.7.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32" w16cid:durableId="1230580022">
    <w:abstractNumId w:val="66"/>
    <w:lvlOverride w:ilvl="0">
      <w:lvl w:ilvl="0">
        <w:start w:val="1"/>
        <w:numFmt w:val="none"/>
        <w:lvlText w:val="5.7.1"/>
        <w:lvlJc w:val="left"/>
        <w:pPr>
          <w:ind w:left="720" w:hanging="360"/>
        </w:pPr>
        <w:rPr>
          <w:rFonts w:hint="default"/>
        </w:rPr>
      </w:lvl>
    </w:lvlOverride>
    <w:lvlOverride w:ilvl="1">
      <w:lvl w:ilvl="1">
        <w:start w:val="1"/>
        <w:numFmt w:val="none"/>
        <w:lvlText w:val="3.5"/>
        <w:lvlJc w:val="left"/>
        <w:pPr>
          <w:ind w:left="1440" w:hanging="360"/>
        </w:pPr>
        <w:rPr>
          <w:rFonts w:hint="default"/>
        </w:rPr>
      </w:lvl>
    </w:lvlOverride>
    <w:lvlOverride w:ilvl="2">
      <w:lvl w:ilvl="2">
        <w:start w:val="1"/>
        <w:numFmt w:val="none"/>
        <w:lvlText w:val="5.7.4"/>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33" w16cid:durableId="2102676352">
    <w:abstractNumId w:val="66"/>
    <w:lvlOverride w:ilvl="0">
      <w:lvl w:ilvl="0">
        <w:start w:val="1"/>
        <w:numFmt w:val="none"/>
        <w:lvlText w:val="5.7.1"/>
        <w:lvlJc w:val="left"/>
        <w:pPr>
          <w:ind w:left="720" w:hanging="360"/>
        </w:pPr>
        <w:rPr>
          <w:rFonts w:hint="default"/>
        </w:rPr>
      </w:lvl>
    </w:lvlOverride>
    <w:lvlOverride w:ilvl="1">
      <w:lvl w:ilvl="1">
        <w:start w:val="1"/>
        <w:numFmt w:val="none"/>
        <w:lvlText w:val="3.5"/>
        <w:lvlJc w:val="left"/>
        <w:pPr>
          <w:ind w:left="1440" w:hanging="360"/>
        </w:pPr>
        <w:rPr>
          <w:rFonts w:hint="default"/>
        </w:rPr>
      </w:lvl>
    </w:lvlOverride>
    <w:lvlOverride w:ilvl="2">
      <w:lvl w:ilvl="2">
        <w:start w:val="1"/>
        <w:numFmt w:val="none"/>
        <w:lvlText w:val="5.7.5"/>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34" w16cid:durableId="969045591">
    <w:abstractNumId w:val="31"/>
  </w:num>
  <w:num w:numId="135" w16cid:durableId="1418356889">
    <w:abstractNumId w:val="84"/>
  </w:num>
  <w:num w:numId="136" w16cid:durableId="838614663">
    <w:abstractNumId w:val="6"/>
  </w:num>
  <w:num w:numId="137" w16cid:durableId="1792164089">
    <w:abstractNumId w:val="54"/>
  </w:num>
  <w:num w:numId="138" w16cid:durableId="616256269">
    <w:abstractNumId w:val="56"/>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FBF"/>
    <w:rsid w:val="00032C0D"/>
    <w:rsid w:val="000601A5"/>
    <w:rsid w:val="00060CDB"/>
    <w:rsid w:val="00083089"/>
    <w:rsid w:val="00087E7B"/>
    <w:rsid w:val="000B5EDE"/>
    <w:rsid w:val="000C4663"/>
    <w:rsid w:val="000E39AC"/>
    <w:rsid w:val="000E7BD9"/>
    <w:rsid w:val="00112629"/>
    <w:rsid w:val="00136FE8"/>
    <w:rsid w:val="00180164"/>
    <w:rsid w:val="001A090A"/>
    <w:rsid w:val="002048A0"/>
    <w:rsid w:val="00206D83"/>
    <w:rsid w:val="00211704"/>
    <w:rsid w:val="00257337"/>
    <w:rsid w:val="00267A4E"/>
    <w:rsid w:val="0029352B"/>
    <w:rsid w:val="002F14A4"/>
    <w:rsid w:val="00301A34"/>
    <w:rsid w:val="003051F6"/>
    <w:rsid w:val="00306D13"/>
    <w:rsid w:val="003236EB"/>
    <w:rsid w:val="00370EE5"/>
    <w:rsid w:val="003A64E7"/>
    <w:rsid w:val="003C4676"/>
    <w:rsid w:val="003C688C"/>
    <w:rsid w:val="003D2CD9"/>
    <w:rsid w:val="003E66FE"/>
    <w:rsid w:val="00411BAD"/>
    <w:rsid w:val="00434990"/>
    <w:rsid w:val="00434B47"/>
    <w:rsid w:val="004409A5"/>
    <w:rsid w:val="00440FE1"/>
    <w:rsid w:val="00441A89"/>
    <w:rsid w:val="00454F8B"/>
    <w:rsid w:val="004B7635"/>
    <w:rsid w:val="004E1C7C"/>
    <w:rsid w:val="004F7292"/>
    <w:rsid w:val="00506A06"/>
    <w:rsid w:val="005072B1"/>
    <w:rsid w:val="00513598"/>
    <w:rsid w:val="00513DE2"/>
    <w:rsid w:val="00515BC7"/>
    <w:rsid w:val="00534793"/>
    <w:rsid w:val="00544B6D"/>
    <w:rsid w:val="0054626D"/>
    <w:rsid w:val="005602EA"/>
    <w:rsid w:val="00566F0E"/>
    <w:rsid w:val="00567C94"/>
    <w:rsid w:val="00571CBE"/>
    <w:rsid w:val="00573155"/>
    <w:rsid w:val="00590B59"/>
    <w:rsid w:val="00593CCD"/>
    <w:rsid w:val="00594822"/>
    <w:rsid w:val="005A7A7C"/>
    <w:rsid w:val="005B3173"/>
    <w:rsid w:val="005D6885"/>
    <w:rsid w:val="00610742"/>
    <w:rsid w:val="00621455"/>
    <w:rsid w:val="00644652"/>
    <w:rsid w:val="006466EA"/>
    <w:rsid w:val="006E2BAB"/>
    <w:rsid w:val="006F59BB"/>
    <w:rsid w:val="00720AA6"/>
    <w:rsid w:val="00722D48"/>
    <w:rsid w:val="00745597"/>
    <w:rsid w:val="00753384"/>
    <w:rsid w:val="00755397"/>
    <w:rsid w:val="00767EC7"/>
    <w:rsid w:val="007756D3"/>
    <w:rsid w:val="00782FAB"/>
    <w:rsid w:val="0079354E"/>
    <w:rsid w:val="007C06DB"/>
    <w:rsid w:val="007D631A"/>
    <w:rsid w:val="007E7AEC"/>
    <w:rsid w:val="007F4DF7"/>
    <w:rsid w:val="00802E9D"/>
    <w:rsid w:val="008162DC"/>
    <w:rsid w:val="00840FBF"/>
    <w:rsid w:val="00865998"/>
    <w:rsid w:val="008738BA"/>
    <w:rsid w:val="00883242"/>
    <w:rsid w:val="008B690D"/>
    <w:rsid w:val="008B73B0"/>
    <w:rsid w:val="0090565C"/>
    <w:rsid w:val="009071C6"/>
    <w:rsid w:val="00930995"/>
    <w:rsid w:val="00932B58"/>
    <w:rsid w:val="009560AA"/>
    <w:rsid w:val="009905FD"/>
    <w:rsid w:val="009C3F29"/>
    <w:rsid w:val="009C5662"/>
    <w:rsid w:val="00A21C5F"/>
    <w:rsid w:val="00A352DF"/>
    <w:rsid w:val="00A44319"/>
    <w:rsid w:val="00A63711"/>
    <w:rsid w:val="00A65919"/>
    <w:rsid w:val="00AA70CB"/>
    <w:rsid w:val="00AB7337"/>
    <w:rsid w:val="00AB75B9"/>
    <w:rsid w:val="00AC344D"/>
    <w:rsid w:val="00AF6A98"/>
    <w:rsid w:val="00B453B3"/>
    <w:rsid w:val="00B465D9"/>
    <w:rsid w:val="00B524C8"/>
    <w:rsid w:val="00B63D4A"/>
    <w:rsid w:val="00B85DEC"/>
    <w:rsid w:val="00B86602"/>
    <w:rsid w:val="00B87F02"/>
    <w:rsid w:val="00BB3A6F"/>
    <w:rsid w:val="00BD7AB0"/>
    <w:rsid w:val="00C177B9"/>
    <w:rsid w:val="00C46954"/>
    <w:rsid w:val="00C57AF2"/>
    <w:rsid w:val="00C97D50"/>
    <w:rsid w:val="00CA7E41"/>
    <w:rsid w:val="00CB2795"/>
    <w:rsid w:val="00CC1DE5"/>
    <w:rsid w:val="00CD53A6"/>
    <w:rsid w:val="00CF7975"/>
    <w:rsid w:val="00D239FC"/>
    <w:rsid w:val="00D82ACA"/>
    <w:rsid w:val="00DA5791"/>
    <w:rsid w:val="00DF1475"/>
    <w:rsid w:val="00DF2F6B"/>
    <w:rsid w:val="00E350E8"/>
    <w:rsid w:val="00E41BAA"/>
    <w:rsid w:val="00E7689D"/>
    <w:rsid w:val="00E92DDA"/>
    <w:rsid w:val="00ED2586"/>
    <w:rsid w:val="00EE0545"/>
    <w:rsid w:val="00F40989"/>
    <w:rsid w:val="00F90317"/>
    <w:rsid w:val="00F921B5"/>
    <w:rsid w:val="00FB35E9"/>
    <w:rsid w:val="00FB39DE"/>
    <w:rsid w:val="00FD64CD"/>
    <w:rsid w:val="00FD7B19"/>
    <w:rsid w:val="00FE00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89339"/>
  <w15:docId w15:val="{A93F793B-755D-4287-B4D4-A352FD43C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1"/>
        <w:szCs w:val="21"/>
        <w:lang w:val="en-US"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BAB"/>
    <w:pPr>
      <w:suppressAutoHyphens/>
    </w:pPr>
  </w:style>
  <w:style w:type="paragraph" w:styleId="Heading1">
    <w:name w:val="heading 1"/>
    <w:basedOn w:val="Normal"/>
    <w:next w:val="Normal"/>
    <w:link w:val="Heading1Char"/>
    <w:uiPriority w:val="9"/>
    <w:qFormat/>
    <w:rsid w:val="00B87F02"/>
    <w:pPr>
      <w:spacing w:before="100" w:after="100"/>
      <w:outlineLvl w:val="0"/>
    </w:pPr>
    <w:rPr>
      <w:rFonts w:eastAsia="Times New Roman"/>
      <w:b/>
      <w:bCs/>
      <w:sz w:val="32"/>
      <w:szCs w:val="32"/>
      <w:lang w:eastAsia="en-GB"/>
    </w:rPr>
  </w:style>
  <w:style w:type="paragraph" w:styleId="Heading2">
    <w:name w:val="heading 2"/>
    <w:basedOn w:val="Normal"/>
    <w:link w:val="Heading2Char"/>
    <w:uiPriority w:val="9"/>
    <w:unhideWhenUsed/>
    <w:qFormat/>
    <w:rsid w:val="00434B47"/>
    <w:pPr>
      <w:spacing w:before="80" w:after="80"/>
      <w:outlineLvl w:val="1"/>
    </w:pPr>
    <w:rPr>
      <w:rFonts w:eastAsiaTheme="majorEastAsia" w:cstheme="majorBidi"/>
      <w:b/>
      <w:color w:val="000000" w:themeColor="text1"/>
      <w:sz w:val="22"/>
      <w:szCs w:val="26"/>
    </w:rPr>
  </w:style>
  <w:style w:type="paragraph" w:styleId="Heading3">
    <w:name w:val="heading 3"/>
    <w:basedOn w:val="ListParagraph"/>
    <w:uiPriority w:val="9"/>
    <w:unhideWhenUsed/>
    <w:qFormat/>
    <w:rsid w:val="00534793"/>
    <w:pPr>
      <w:spacing w:before="100" w:after="100"/>
      <w:ind w:left="360"/>
      <w:outlineLvl w:val="2"/>
    </w:pPr>
    <w:rPr>
      <w:b/>
      <w:bCs/>
      <w:color w:val="002060"/>
    </w:rPr>
  </w:style>
  <w:style w:type="paragraph" w:styleId="Heading4">
    <w:name w:val="heading 4"/>
    <w:basedOn w:val="Normal"/>
    <w:next w:val="Normal"/>
    <w:uiPriority w:val="9"/>
    <w:semiHidden/>
    <w:unhideWhenUsed/>
    <w:qFormat/>
    <w:pPr>
      <w:keepNext/>
      <w:keepLines/>
      <w:spacing w:before="40" w:after="0"/>
      <w:outlineLvl w:val="3"/>
    </w:pPr>
    <w:rPr>
      <w:rFonts w:ascii="Calibri Light" w:eastAsia="Yu Gothic Light" w:hAnsi="Calibri Light" w:cs="Times New Roman"/>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257337"/>
    <w:pPr>
      <w:ind w:left="720" w:hanging="720"/>
    </w:pPr>
    <w:rPr>
      <w:sz w:val="22"/>
    </w:rPr>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rPr>
      <w:sz w:val="20"/>
      <w:szCs w:val="20"/>
    </w:rPr>
  </w:style>
  <w:style w:type="character" w:customStyle="1" w:styleId="CommentTextChar">
    <w:name w:val="Comment Text Char"/>
    <w:basedOn w:val="DefaultParagraphFont"/>
    <w:uiPriority w:val="99"/>
    <w:rPr>
      <w:sz w:val="20"/>
      <w:szCs w:val="20"/>
      <w:lang w:val="en-GB"/>
    </w:rPr>
  </w:style>
  <w:style w:type="character" w:customStyle="1" w:styleId="Heading3Char">
    <w:name w:val="Heading 3 Char"/>
    <w:basedOn w:val="DefaultParagraphFont"/>
    <w:rPr>
      <w:rFonts w:ascii="Times New Roman" w:eastAsia="Times New Roman" w:hAnsi="Times New Roman" w:cs="Times New Roman"/>
      <w:b/>
      <w:bCs/>
      <w:sz w:val="27"/>
      <w:szCs w:val="27"/>
      <w:lang w:val="en-GB" w:eastAsia="en-GB"/>
    </w:rPr>
  </w:style>
  <w:style w:type="paragraph" w:styleId="NormalWeb">
    <w:name w:val="Normal (Web)"/>
    <w:basedOn w:val="Normal"/>
    <w:pPr>
      <w:spacing w:before="100" w:after="100"/>
    </w:pPr>
    <w:rPr>
      <w:rFonts w:ascii="Times New Roman" w:eastAsia="Times New Roman" w:hAnsi="Times New Roman" w:cs="Times New Roman"/>
      <w:sz w:val="24"/>
      <w:szCs w:val="24"/>
      <w:lang w:eastAsia="en-GB"/>
    </w:rPr>
  </w:style>
  <w:style w:type="character" w:styleId="Strong">
    <w:name w:val="Strong"/>
    <w:basedOn w:val="DefaultParagraphFont"/>
    <w:rPr>
      <w:b/>
      <w:bC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lang w:val="en-GB"/>
    </w:rPr>
  </w:style>
  <w:style w:type="character" w:customStyle="1" w:styleId="Heading4Char">
    <w:name w:val="Heading 4 Char"/>
    <w:basedOn w:val="DefaultParagraphFont"/>
    <w:rPr>
      <w:rFonts w:ascii="Calibri Light" w:eastAsia="Yu Gothic Light" w:hAnsi="Calibri Light" w:cs="Times New Roman"/>
      <w:i/>
      <w:iCs/>
      <w:color w:val="2F5496"/>
      <w:lang w:val="en-GB"/>
    </w:rPr>
  </w:style>
  <w:style w:type="character" w:customStyle="1" w:styleId="citation-0">
    <w:name w:val="citation-0"/>
    <w:basedOn w:val="DefaultParagraphFont"/>
  </w:style>
  <w:style w:type="character" w:customStyle="1" w:styleId="citation-1">
    <w:name w:val="citation-1"/>
    <w:basedOn w:val="DefaultParagraphFont"/>
  </w:style>
  <w:style w:type="character" w:customStyle="1" w:styleId="button-container">
    <w:name w:val="button-container"/>
    <w:basedOn w:val="DefaultParagraphFont"/>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Revision">
    <w:name w:val="Revision"/>
    <w:pPr>
      <w:suppressAutoHyphens/>
      <w:spacing w:after="0"/>
    </w:pPr>
    <w:rPr>
      <w:lang w:val="en-GB"/>
    </w:rPr>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rPr>
      <w:lang w:val="en-GB"/>
    </w:rPr>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rPr>
      <w:lang w:val="en-GB"/>
    </w:rPr>
  </w:style>
  <w:style w:type="character" w:customStyle="1" w:styleId="normaltextrun">
    <w:name w:val="normaltextrun"/>
    <w:basedOn w:val="DefaultParagraphFont"/>
  </w:style>
  <w:style w:type="character" w:customStyle="1" w:styleId="eop">
    <w:name w:val="eop"/>
    <w:basedOn w:val="DefaultParagraphFont"/>
  </w:style>
  <w:style w:type="character" w:styleId="Mention">
    <w:name w:val="Mention"/>
    <w:basedOn w:val="DefaultParagraphFont"/>
    <w:rPr>
      <w:color w:val="2B579A"/>
      <w:shd w:val="clear" w:color="auto" w:fill="E1DFDD"/>
    </w:rPr>
  </w:style>
  <w:style w:type="character" w:styleId="FollowedHyperlink">
    <w:name w:val="FollowedHyperlink"/>
    <w:basedOn w:val="DefaultParagraphFont"/>
    <w:rPr>
      <w:color w:val="954F72"/>
      <w:u w:val="single"/>
    </w:rPr>
  </w:style>
  <w:style w:type="paragraph" w:customStyle="1" w:styleId="Bulletedlist">
    <w:name w:val="Bulleted list"/>
    <w:basedOn w:val="Normal"/>
    <w:pPr>
      <w:suppressAutoHyphens w:val="0"/>
      <w:spacing w:after="0"/>
      <w:ind w:left="1440" w:hanging="360"/>
    </w:pPr>
    <w:rPr>
      <w:rFonts w:eastAsia="Times New Roman" w:cs="Times New Roman"/>
      <w:color w:val="262626"/>
      <w:sz w:val="22"/>
    </w:rPr>
  </w:style>
  <w:style w:type="character" w:customStyle="1" w:styleId="BulletedlistChar">
    <w:name w:val="Bulleted list Char"/>
    <w:basedOn w:val="DefaultParagraphFont"/>
    <w:rPr>
      <w:rFonts w:eastAsia="Times New Roman" w:cs="Times New Roman"/>
      <w:color w:val="262626"/>
      <w:sz w:val="22"/>
      <w:lang w:val="en-GB"/>
    </w:rPr>
  </w:style>
  <w:style w:type="paragraph" w:styleId="NoSpacing">
    <w:name w:val="No Spacing"/>
    <w:pPr>
      <w:spacing w:after="0"/>
    </w:pPr>
    <w:rPr>
      <w:rFonts w:cs="Times New Roman"/>
    </w:rPr>
  </w:style>
  <w:style w:type="paragraph" w:customStyle="1" w:styleId="Default">
    <w:name w:val="Default"/>
    <w:pPr>
      <w:autoSpaceDE w:val="0"/>
      <w:spacing w:after="0"/>
      <w:textAlignment w:val="auto"/>
    </w:pPr>
    <w:rPr>
      <w:rFonts w:ascii="Gill Sans MT" w:eastAsia="Aptos" w:hAnsi="Gill Sans MT" w:cs="Gill Sans MT"/>
      <w:color w:val="000000"/>
      <w:sz w:val="24"/>
      <w:szCs w:val="24"/>
      <w:lang w:val="en-GB"/>
    </w:rPr>
  </w:style>
  <w:style w:type="character" w:customStyle="1" w:styleId="rwrr">
    <w:name w:val="rwrr"/>
    <w:basedOn w:val="DefaultParagraphFont"/>
  </w:style>
  <w:style w:type="character" w:customStyle="1" w:styleId="apple-converted-space">
    <w:name w:val="apple-converted-space"/>
    <w:basedOn w:val="DefaultParagraphFont"/>
  </w:style>
  <w:style w:type="character" w:customStyle="1" w:styleId="ListParagraphChar">
    <w:name w:val="List Paragraph Char"/>
    <w:rPr>
      <w:lang w:val="en-GB"/>
    </w:rPr>
  </w:style>
  <w:style w:type="paragraph" w:styleId="BodyText">
    <w:name w:val="Body Text"/>
    <w:basedOn w:val="Normal"/>
    <w:pPr>
      <w:widowControl w:val="0"/>
      <w:suppressAutoHyphens w:val="0"/>
      <w:autoSpaceDE w:val="0"/>
      <w:spacing w:after="0"/>
      <w:textAlignment w:val="auto"/>
    </w:pPr>
    <w:rPr>
      <w:rFonts w:ascii="Trebuchet MS" w:eastAsia="Trebuchet MS" w:hAnsi="Trebuchet MS" w:cs="Trebuchet MS"/>
      <w:sz w:val="22"/>
      <w:lang w:eastAsia="en-GB" w:bidi="en-GB"/>
    </w:rPr>
  </w:style>
  <w:style w:type="character" w:customStyle="1" w:styleId="BodyTextChar">
    <w:name w:val="Body Text Char"/>
    <w:basedOn w:val="DefaultParagraphFont"/>
    <w:rPr>
      <w:rFonts w:ascii="Trebuchet MS" w:eastAsia="Trebuchet MS" w:hAnsi="Trebuchet MS" w:cs="Trebuchet MS"/>
      <w:sz w:val="22"/>
      <w:lang w:val="en-GB" w:eastAsia="en-GB" w:bidi="en-GB"/>
    </w:rPr>
  </w:style>
  <w:style w:type="character" w:customStyle="1" w:styleId="Heading1Char">
    <w:name w:val="Heading 1 Char"/>
    <w:basedOn w:val="DefaultParagraphFont"/>
    <w:link w:val="Heading1"/>
    <w:uiPriority w:val="9"/>
    <w:rsid w:val="00B87F02"/>
    <w:rPr>
      <w:rFonts w:eastAsia="Times New Roman"/>
      <w:b/>
      <w:bCs/>
      <w:sz w:val="32"/>
      <w:szCs w:val="32"/>
      <w:lang w:val="en-GB" w:eastAsia="en-GB"/>
    </w:rPr>
  </w:style>
  <w:style w:type="character" w:customStyle="1" w:styleId="Heading2Char">
    <w:name w:val="Heading 2 Char"/>
    <w:basedOn w:val="DefaultParagraphFont"/>
    <w:link w:val="Heading2"/>
    <w:uiPriority w:val="9"/>
    <w:rsid w:val="00434B47"/>
    <w:rPr>
      <w:rFonts w:eastAsiaTheme="majorEastAsia" w:cstheme="majorBidi"/>
      <w:b/>
      <w:color w:val="000000" w:themeColor="text1"/>
      <w:sz w:val="22"/>
      <w:szCs w:val="26"/>
      <w:lang w:val="en-GB"/>
    </w:rPr>
  </w:style>
  <w:style w:type="paragraph" w:customStyle="1" w:styleId="TableHead">
    <w:name w:val="Table Head"/>
    <w:basedOn w:val="Normal"/>
    <w:qFormat/>
    <w:rsid w:val="00566F0E"/>
    <w:pPr>
      <w:spacing w:after="0"/>
    </w:pPr>
    <w:rPr>
      <w:rFonts w:ascii="Aptos" w:eastAsia="Aptos" w:hAnsi="Aptos" w:cs="Times New Roman"/>
    </w:rPr>
  </w:style>
  <w:style w:type="paragraph" w:customStyle="1" w:styleId="TableBody">
    <w:name w:val="Table Body"/>
    <w:basedOn w:val="Normal"/>
    <w:qFormat/>
    <w:rsid w:val="00566F0E"/>
    <w:pPr>
      <w:spacing w:after="0"/>
    </w:pPr>
    <w:rPr>
      <w:rFonts w:ascii="Aptos" w:eastAsia="Aptos" w:hAnsi="Apto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bbk.ac.uk/research/" TargetMode="External"/><Relationship Id="rId18" Type="http://schemas.openxmlformats.org/officeDocument/2006/relationships/hyperlink" Target="https://2029.ref.ac.uk/publication/research-fellowships/" TargetMode="External"/><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hyperlink" Target="https://birkbeckuol.sharepoint.com/sites/ps-cn-prof-dev-and-training" TargetMode="Externa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s://www.bbk.ac.uk/professional-services/human-resources/fixed-term-contracts-policy-and-guidance"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rkbeckuol.sharepoint.com/sites/ps-cn-research-office/SitePages/Research-Excellence-Framework.aspx" TargetMode="External"/><Relationship Id="rId24"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hyperlink" Target="https://www.bbk.ac.uk/about-us/equality/statement" TargetMode="External"/><Relationship Id="rId23" Type="http://schemas.openxmlformats.org/officeDocument/2006/relationships/image" Target="media/image3.png"/><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2029.ref.ac.uk/publication/research-fellowship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bbk.ac.uk/committees/governors/governors-biographies" TargetMode="External"/><Relationship Id="rId22" Type="http://schemas.openxmlformats.org/officeDocument/2006/relationships/footer" Target="footer3.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7">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D94D8"/>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2538</TotalTime>
  <Pages>36</Pages>
  <Words>14027</Words>
  <Characters>79960</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Code of Practice template</vt:lpstr>
    </vt:vector>
  </TitlesOfParts>
  <Company>Birkbeck, University of London</Company>
  <LinksUpToDate>false</LinksUpToDate>
  <CharactersWithSpaces>93800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Practice template</dc:title>
  <dc:subject/>
  <dc:creator>Jonathan Piotrowski - Research England UKRI</dc:creator>
  <dc:description/>
  <cp:lastModifiedBy>BUVANA K</cp:lastModifiedBy>
  <cp:revision>113</cp:revision>
  <cp:lastPrinted>2026-02-06T14:12:00Z</cp:lastPrinted>
  <dcterms:created xsi:type="dcterms:W3CDTF">2026-04-17T13:34:00Z</dcterms:created>
  <dcterms:modified xsi:type="dcterms:W3CDTF">2026-08-24T17:05:00Z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_dlc_DocIdItemGuid">
    <vt:lpwstr>5932716f-6f0e-4f3c-9d60-89071024132e</vt:lpwstr>
  </property>
  <property fmtid="{D5CDD505-2E9C-101B-9397-08002B2CF9AE}" pid="4" name="ContentTypeId">
    <vt:lpwstr>0x010100789ECAAF2A63264EB06E7050B3171A91</vt:lpwstr>
  </property>
</Properties>
</file>